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2925B">
      <w:pPr>
        <w:spacing w:line="360" w:lineRule="auto"/>
        <w:jc w:val="center"/>
        <w:rPr>
          <w:rFonts w:ascii="宋体" w:hAnsi="宋体"/>
          <w:sz w:val="24"/>
        </w:rPr>
      </w:pPr>
    </w:p>
    <w:p w14:paraId="3954C601">
      <w:pPr>
        <w:spacing w:line="360" w:lineRule="auto"/>
        <w:jc w:val="center"/>
        <w:rPr>
          <w:rFonts w:ascii="宋体" w:hAnsi="宋体"/>
          <w:sz w:val="24"/>
        </w:rPr>
      </w:pPr>
    </w:p>
    <w:p w14:paraId="1F4757B8">
      <w:pPr>
        <w:spacing w:line="360" w:lineRule="auto"/>
        <w:jc w:val="center"/>
        <w:rPr>
          <w:rFonts w:ascii="宋体" w:hAnsi="宋体"/>
          <w:sz w:val="24"/>
        </w:rPr>
      </w:pPr>
    </w:p>
    <w:p w14:paraId="0A4A132D">
      <w:pPr>
        <w:spacing w:line="360" w:lineRule="auto"/>
        <w:jc w:val="center"/>
        <w:rPr>
          <w:rFonts w:ascii="宋体" w:hAnsi="宋体"/>
          <w:sz w:val="24"/>
        </w:rPr>
      </w:pPr>
    </w:p>
    <w:p w14:paraId="39E59D01">
      <w:pPr>
        <w:spacing w:line="360" w:lineRule="auto"/>
        <w:ind w:firstLine="880" w:firstLineChars="2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2023年度内蒙古自治区鄂尔多斯市疾病</w:t>
      </w:r>
    </w:p>
    <w:p w14:paraId="0D67488A">
      <w:pPr>
        <w:spacing w:line="360" w:lineRule="auto"/>
        <w:ind w:firstLine="1760" w:firstLineChars="400"/>
        <w:jc w:val="both"/>
        <w:rPr>
          <w:rFonts w:hint="eastAsia" w:ascii="宋体" w:hAnsi="宋体" w:eastAsia="方正小标宋简体"/>
          <w:b/>
          <w:bCs/>
          <w:sz w:val="44"/>
          <w:szCs w:val="44"/>
          <w:lang w:eastAsia="zh-CN"/>
        </w:rPr>
      </w:pPr>
      <w:r>
        <w:rPr>
          <w:rFonts w:hint="eastAsia" w:ascii="方正小标宋简体" w:hAnsi="方正小标宋简体" w:eastAsia="方正小标宋简体" w:cs="方正小标宋简体"/>
          <w:b w:val="0"/>
          <w:bCs w:val="0"/>
          <w:sz w:val="44"/>
          <w:szCs w:val="44"/>
        </w:rPr>
        <w:t>预防控制中心</w:t>
      </w:r>
      <w:r>
        <w:rPr>
          <w:rFonts w:hint="eastAsia" w:ascii="方正小标宋简体" w:hAnsi="方正小标宋简体" w:eastAsia="方正小标宋简体" w:cs="方正小标宋简体"/>
          <w:b w:val="0"/>
          <w:bCs w:val="0"/>
          <w:sz w:val="44"/>
          <w:szCs w:val="44"/>
          <w:lang w:eastAsia="zh-CN"/>
        </w:rPr>
        <w:t>单位决算</w:t>
      </w:r>
      <w:r>
        <w:rPr>
          <w:rFonts w:hint="eastAsia" w:ascii="方正小标宋简体" w:hAnsi="方正小标宋简体" w:eastAsia="方正小标宋简体" w:cs="方正小标宋简体"/>
          <w:b w:val="0"/>
          <w:bCs w:val="0"/>
          <w:sz w:val="44"/>
          <w:szCs w:val="44"/>
        </w:rPr>
        <w:t>公开</w:t>
      </w:r>
      <w:r>
        <w:rPr>
          <w:rFonts w:hint="eastAsia" w:ascii="方正小标宋简体" w:hAnsi="方正小标宋简体" w:eastAsia="方正小标宋简体" w:cs="方正小标宋简体"/>
          <w:b w:val="0"/>
          <w:bCs w:val="0"/>
          <w:sz w:val="44"/>
          <w:szCs w:val="44"/>
          <w:lang w:eastAsia="zh-CN"/>
        </w:rPr>
        <w:t>报告</w:t>
      </w:r>
    </w:p>
    <w:p w14:paraId="2C9D5D23">
      <w:pPr>
        <w:spacing w:line="360" w:lineRule="auto"/>
        <w:jc w:val="center"/>
        <w:rPr>
          <w:rFonts w:ascii="宋体" w:hAnsi="宋体"/>
          <w:b/>
          <w:bCs/>
          <w:sz w:val="52"/>
          <w:szCs w:val="52"/>
        </w:rPr>
      </w:pPr>
    </w:p>
    <w:p w14:paraId="289BE28E">
      <w:pPr>
        <w:spacing w:line="360" w:lineRule="auto"/>
        <w:jc w:val="left"/>
        <w:rPr>
          <w:rFonts w:hint="eastAsia" w:ascii="宋体" w:hAnsi="宋体"/>
          <w:sz w:val="32"/>
          <w:szCs w:val="32"/>
        </w:rPr>
      </w:pPr>
    </w:p>
    <w:p w14:paraId="0A547561">
      <w:pPr>
        <w:spacing w:line="360" w:lineRule="auto"/>
        <w:jc w:val="left"/>
        <w:rPr>
          <w:rFonts w:hint="eastAsia" w:ascii="宋体" w:hAnsi="宋体"/>
          <w:sz w:val="32"/>
          <w:szCs w:val="32"/>
        </w:rPr>
      </w:pPr>
    </w:p>
    <w:p w14:paraId="7417375B">
      <w:pPr>
        <w:spacing w:line="360" w:lineRule="auto"/>
        <w:jc w:val="left"/>
        <w:rPr>
          <w:rFonts w:hint="eastAsia" w:ascii="宋体" w:hAnsi="宋体"/>
          <w:sz w:val="32"/>
          <w:szCs w:val="32"/>
        </w:rPr>
      </w:pPr>
    </w:p>
    <w:p w14:paraId="6891F22C">
      <w:pPr>
        <w:spacing w:line="360" w:lineRule="auto"/>
        <w:jc w:val="left"/>
        <w:rPr>
          <w:rFonts w:hint="eastAsia" w:ascii="宋体" w:hAnsi="宋体"/>
          <w:sz w:val="32"/>
          <w:szCs w:val="32"/>
        </w:rPr>
      </w:pPr>
    </w:p>
    <w:p w14:paraId="3B536072">
      <w:pPr>
        <w:spacing w:line="360" w:lineRule="auto"/>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单位名称：内蒙古自治区鄂尔多斯市疾病预防控制中心</w:t>
      </w:r>
    </w:p>
    <w:p w14:paraId="589A7628">
      <w:pPr>
        <w:spacing w:line="360" w:lineRule="auto"/>
        <w:ind w:firstLine="2240" w:firstLineChars="700"/>
        <w:jc w:val="left"/>
        <w:rPr>
          <w:rFonts w:hint="eastAsia" w:ascii="仿宋_GB2312" w:hAnsi="仿宋_GB2312" w:eastAsia="仿宋_GB2312" w:cs="仿宋_GB2312"/>
          <w:sz w:val="32"/>
          <w:szCs w:val="32"/>
        </w:rPr>
      </w:pPr>
    </w:p>
    <w:p w14:paraId="37F400D9">
      <w:pPr>
        <w:spacing w:line="360" w:lineRule="auto"/>
        <w:ind w:firstLine="2880" w:firstLineChars="9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单位负责人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榕</w:t>
      </w:r>
    </w:p>
    <w:p w14:paraId="7711B849">
      <w:pPr>
        <w:spacing w:line="360" w:lineRule="auto"/>
        <w:ind w:firstLine="2880" w:firstLineChars="9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财务负责人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肖洪涛</w:t>
      </w:r>
    </w:p>
    <w:p w14:paraId="16918422">
      <w:pPr>
        <w:spacing w:line="360" w:lineRule="auto"/>
        <w:ind w:firstLine="2880" w:firstLineChars="900"/>
        <w:jc w:val="left"/>
        <w:rPr>
          <w:rFonts w:hint="eastAsia" w:ascii="仿宋_GB2312" w:hAnsi="仿宋_GB2312" w:eastAsia="仿宋_GB2312" w:cs="仿宋_GB2312"/>
          <w:sz w:val="32"/>
          <w:szCs w:val="32"/>
        </w:rPr>
      </w:pPr>
      <w:bookmarkStart w:id="72" w:name="_GoBack"/>
      <w:bookmarkEnd w:id="72"/>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赵烨霞</w:t>
      </w:r>
    </w:p>
    <w:p w14:paraId="4049E90A">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0" w:name="a000"/>
    </w:p>
    <w:p w14:paraId="161355BA">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2A1A290F">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359C4912">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5A02C117">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hint="eastAsia" w:ascii="方正小标宋简体" w:hAnsi="方正小标宋简体" w:eastAsia="方正小标宋简体" w:cs="方正小标宋简体"/>
          <w:kern w:val="2"/>
          <w:sz w:val="44"/>
          <w:szCs w:val="52"/>
          <w:lang w:val="en-US" w:eastAsia="zh-CN" w:bidi="ar-SA"/>
        </w:rPr>
        <w:id w:val="147470369"/>
        <w15:color w:val="DBDBDB"/>
        <w:docPartObj>
          <w:docPartGallery w:val="Table of Contents"/>
          <w:docPartUnique/>
        </w:docPartObj>
      </w:sdtPr>
      <w:sdtEndPr>
        <w:rPr>
          <w:rFonts w:hint="eastAsia" w:ascii="黑体" w:hAnsi="黑体" w:eastAsia="黑体" w:cs="黑体"/>
          <w:bCs w:val="0"/>
          <w:iCs/>
          <w:kern w:val="0"/>
          <w:sz w:val="24"/>
          <w:szCs w:val="32"/>
          <w:lang w:val="en-US" w:eastAsia="zh-CN" w:bidi="ar-SA"/>
        </w:rPr>
      </w:sdtEndPr>
      <w:sdtContent>
        <w:p w14:paraId="3E6C7FEB">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44"/>
              <w:szCs w:val="52"/>
              <w:lang w:val="en-US" w:eastAsia="zh-CN" w:bidi="ar-SA"/>
            </w:rPr>
          </w:pPr>
        </w:p>
        <w:p w14:paraId="11244F01">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44"/>
              <w:szCs w:val="52"/>
              <w:lang w:val="en-US" w:eastAsia="zh-CN" w:bidi="ar-SA"/>
            </w:rPr>
          </w:pPr>
        </w:p>
        <w:p w14:paraId="0B8076C5">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目</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录</w:t>
          </w:r>
        </w:p>
        <w:p w14:paraId="7D0AE65B">
          <w:pPr>
            <w:pStyle w:val="14"/>
            <w:tabs>
              <w:tab w:val="right" w:leader="dot" w:pos="9081"/>
            </w:tabs>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TOC \o "1-2" \h \u </w:instrText>
          </w:r>
          <w:r>
            <w:rPr>
              <w:rFonts w:hint="eastAsia" w:ascii="仿宋_GB2312" w:hAnsi="仿宋_GB2312" w:eastAsia="仿宋_GB2312" w:cs="仿宋_GB2312"/>
              <w:kern w:val="0"/>
              <w:sz w:val="32"/>
              <w:szCs w:val="32"/>
            </w:rPr>
            <w:fldChar w:fldCharType="separate"/>
          </w:r>
        </w:p>
        <w:p w14:paraId="70B9EAF0">
          <w:pPr>
            <w:pStyle w:val="14"/>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_Toc13296 </w:instrText>
          </w:r>
          <w:r>
            <w:rPr>
              <w:rFonts w:hint="eastAsia" w:ascii="仿宋_GB2312" w:hAnsi="仿宋_GB2312" w:eastAsia="仿宋_GB2312" w:cs="仿宋_GB2312"/>
              <w:kern w:val="0"/>
              <w:szCs w:val="32"/>
            </w:rPr>
            <w:fldChar w:fldCharType="separate"/>
          </w:r>
          <w:r>
            <w:rPr>
              <w:rFonts w:hint="eastAsia" w:ascii="方正小标宋简体" w:hAnsi="方正小标宋简体" w:eastAsia="方正小标宋简体" w:cs="方正小标宋简体"/>
              <w:bCs w:val="0"/>
              <w:kern w:val="0"/>
              <w:szCs w:val="44"/>
            </w:rPr>
            <w:t>第一部分 单位概况</w:t>
          </w:r>
          <w:r>
            <w:tab/>
          </w:r>
          <w:r>
            <w:fldChar w:fldCharType="begin"/>
          </w:r>
          <w:r>
            <w:instrText xml:space="preserve"> PAGEREF _Toc13296 \h </w:instrText>
          </w:r>
          <w:r>
            <w:fldChar w:fldCharType="separate"/>
          </w:r>
          <w:r>
            <w:t>- 1 -</w:t>
          </w:r>
          <w:r>
            <w:fldChar w:fldCharType="end"/>
          </w:r>
          <w:r>
            <w:rPr>
              <w:rFonts w:hint="eastAsia" w:ascii="仿宋_GB2312" w:hAnsi="仿宋_GB2312" w:eastAsia="仿宋_GB2312" w:cs="仿宋_GB2312"/>
              <w:kern w:val="0"/>
              <w:szCs w:val="32"/>
            </w:rPr>
            <w:fldChar w:fldCharType="end"/>
          </w:r>
        </w:p>
        <w:p w14:paraId="29467668">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_Toc4379 </w:instrText>
          </w:r>
          <w:r>
            <w:rPr>
              <w:rFonts w:hint="eastAsia" w:ascii="仿宋_GB2312" w:hAnsi="仿宋_GB2312" w:eastAsia="仿宋_GB2312" w:cs="仿宋_GB2312"/>
              <w:kern w:val="0"/>
              <w:szCs w:val="32"/>
            </w:rPr>
            <w:fldChar w:fldCharType="separate"/>
          </w:r>
          <w:r>
            <w:rPr>
              <w:rFonts w:ascii="黑体" w:hAnsi="黑体" w:eastAsia="黑体" w:cs="黑体"/>
              <w:bCs/>
              <w:kern w:val="0"/>
              <w:szCs w:val="32"/>
            </w:rPr>
            <w:t>一、主要职能、职责</w:t>
          </w:r>
          <w:r>
            <w:tab/>
          </w:r>
          <w:r>
            <w:fldChar w:fldCharType="begin"/>
          </w:r>
          <w:r>
            <w:instrText xml:space="preserve"> PAGEREF _Toc4379 \h </w:instrText>
          </w:r>
          <w:r>
            <w:fldChar w:fldCharType="separate"/>
          </w:r>
          <w:r>
            <w:t>- 1 -</w:t>
          </w:r>
          <w:r>
            <w:fldChar w:fldCharType="end"/>
          </w:r>
          <w:r>
            <w:rPr>
              <w:rFonts w:hint="eastAsia" w:ascii="仿宋_GB2312" w:hAnsi="仿宋_GB2312" w:eastAsia="仿宋_GB2312" w:cs="仿宋_GB2312"/>
              <w:kern w:val="0"/>
              <w:szCs w:val="32"/>
            </w:rPr>
            <w:fldChar w:fldCharType="end"/>
          </w:r>
        </w:p>
        <w:p w14:paraId="4DE4443C">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_Toc3922 </w:instrText>
          </w:r>
          <w:r>
            <w:rPr>
              <w:rFonts w:hint="eastAsia" w:ascii="仿宋_GB2312" w:hAnsi="仿宋_GB2312" w:eastAsia="仿宋_GB2312" w:cs="仿宋_GB2312"/>
              <w:kern w:val="0"/>
              <w:szCs w:val="32"/>
            </w:rPr>
            <w:fldChar w:fldCharType="separate"/>
          </w:r>
          <w:r>
            <w:rPr>
              <w:rFonts w:hint="eastAsia" w:ascii="黑体" w:hAnsi="黑体" w:eastAsia="黑体" w:cs="黑体"/>
              <w:bCs/>
              <w:kern w:val="0"/>
              <w:szCs w:val="32"/>
              <w:lang w:eastAsia="zh-CN"/>
            </w:rPr>
            <w:t>二、</w:t>
          </w:r>
          <w:r>
            <w:rPr>
              <w:rFonts w:ascii="黑体" w:hAnsi="黑体" w:eastAsia="黑体" w:cs="黑体"/>
              <w:bCs/>
              <w:kern w:val="0"/>
              <w:szCs w:val="32"/>
            </w:rPr>
            <w:t>单位机构设置及决算单位构成情况</w:t>
          </w:r>
          <w:r>
            <w:tab/>
          </w:r>
          <w:r>
            <w:fldChar w:fldCharType="begin"/>
          </w:r>
          <w:r>
            <w:instrText xml:space="preserve"> PAGEREF _Toc3922 \h </w:instrText>
          </w:r>
          <w:r>
            <w:fldChar w:fldCharType="separate"/>
          </w:r>
          <w:r>
            <w:t>- 2 -</w:t>
          </w:r>
          <w:r>
            <w:fldChar w:fldCharType="end"/>
          </w:r>
          <w:r>
            <w:rPr>
              <w:rFonts w:hint="eastAsia" w:ascii="仿宋_GB2312" w:hAnsi="仿宋_GB2312" w:eastAsia="仿宋_GB2312" w:cs="仿宋_GB2312"/>
              <w:kern w:val="0"/>
              <w:szCs w:val="32"/>
            </w:rPr>
            <w:fldChar w:fldCharType="end"/>
          </w:r>
        </w:p>
        <w:p w14:paraId="4C2B87BD">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_Toc5173 </w:instrText>
          </w:r>
          <w:r>
            <w:rPr>
              <w:rFonts w:hint="eastAsia" w:ascii="仿宋_GB2312" w:hAnsi="仿宋_GB2312" w:eastAsia="仿宋_GB2312" w:cs="仿宋_GB2312"/>
              <w:kern w:val="0"/>
              <w:szCs w:val="32"/>
            </w:rPr>
            <w:fldChar w:fldCharType="separate"/>
          </w:r>
          <w:r>
            <w:rPr>
              <w:rFonts w:ascii="黑体" w:hAnsi="黑体" w:eastAsia="黑体" w:cs="黑体"/>
              <w:bCs/>
              <w:kern w:val="0"/>
              <w:szCs w:val="32"/>
            </w:rPr>
            <w:t>三、2023年度单位主要工作完成情况</w:t>
          </w:r>
          <w:r>
            <w:tab/>
          </w:r>
          <w:r>
            <w:fldChar w:fldCharType="begin"/>
          </w:r>
          <w:r>
            <w:instrText xml:space="preserve"> PAGEREF _Toc5173 \h </w:instrText>
          </w:r>
          <w:r>
            <w:fldChar w:fldCharType="separate"/>
          </w:r>
          <w:r>
            <w:t>- 2 -</w:t>
          </w:r>
          <w:r>
            <w:fldChar w:fldCharType="end"/>
          </w:r>
          <w:r>
            <w:rPr>
              <w:rFonts w:hint="eastAsia" w:ascii="仿宋_GB2312" w:hAnsi="仿宋_GB2312" w:eastAsia="仿宋_GB2312" w:cs="仿宋_GB2312"/>
              <w:kern w:val="0"/>
              <w:szCs w:val="32"/>
            </w:rPr>
            <w:fldChar w:fldCharType="end"/>
          </w:r>
        </w:p>
        <w:p w14:paraId="38D1472B">
          <w:pPr>
            <w:pStyle w:val="14"/>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_Toc1254 </w:instrText>
          </w:r>
          <w:r>
            <w:rPr>
              <w:rFonts w:hint="eastAsia" w:ascii="仿宋_GB2312" w:hAnsi="仿宋_GB2312" w:eastAsia="仿宋_GB2312" w:cs="仿宋_GB2312"/>
              <w:kern w:val="0"/>
              <w:szCs w:val="32"/>
            </w:rPr>
            <w:fldChar w:fldCharType="separate"/>
          </w:r>
          <w:r>
            <w:rPr>
              <w:rFonts w:hint="eastAsia" w:ascii="方正小标宋简体" w:hAnsi="方正小标宋简体" w:eastAsia="方正小标宋简体" w:cs="方正小标宋简体"/>
              <w:bCs w:val="0"/>
              <w:kern w:val="0"/>
              <w:szCs w:val="44"/>
              <w:lang w:val="en-US" w:eastAsia="zh-CN" w:bidi="ar-SA"/>
            </w:rPr>
            <w:t>第二部分  单位决算情况说明</w:t>
          </w:r>
          <w:r>
            <w:tab/>
          </w:r>
          <w:r>
            <w:fldChar w:fldCharType="begin"/>
          </w:r>
          <w:r>
            <w:instrText xml:space="preserve"> PAGEREF _Toc1254 \h </w:instrText>
          </w:r>
          <w:r>
            <w:fldChar w:fldCharType="separate"/>
          </w:r>
          <w:r>
            <w:t>- 7 -</w:t>
          </w:r>
          <w:r>
            <w:fldChar w:fldCharType="end"/>
          </w:r>
          <w:r>
            <w:rPr>
              <w:rFonts w:hint="eastAsia" w:ascii="仿宋_GB2312" w:hAnsi="仿宋_GB2312" w:eastAsia="仿宋_GB2312" w:cs="仿宋_GB2312"/>
              <w:kern w:val="0"/>
              <w:szCs w:val="32"/>
            </w:rPr>
            <w:fldChar w:fldCharType="end"/>
          </w:r>
        </w:p>
        <w:p w14:paraId="7533922D">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_Toc31473 </w:instrText>
          </w:r>
          <w:r>
            <w:rPr>
              <w:rFonts w:hint="eastAsia" w:ascii="仿宋_GB2312" w:hAnsi="仿宋_GB2312" w:eastAsia="仿宋_GB2312" w:cs="仿宋_GB2312"/>
              <w:kern w:val="0"/>
              <w:szCs w:val="32"/>
            </w:rPr>
            <w:fldChar w:fldCharType="separate"/>
          </w:r>
          <w:r>
            <w:rPr>
              <w:rFonts w:hint="eastAsia" w:ascii="黑体" w:hAnsi="黑体" w:eastAsia="黑体" w:cs="黑体"/>
              <w:bCs w:val="0"/>
              <w:kern w:val="0"/>
              <w:szCs w:val="32"/>
              <w:lang w:eastAsia="zh-CN"/>
            </w:rPr>
            <w:t>一、</w:t>
          </w:r>
          <w:r>
            <w:rPr>
              <w:rFonts w:ascii="黑体" w:hAnsi="黑体" w:eastAsia="黑体" w:cs="黑体"/>
              <w:bCs w:val="0"/>
              <w:kern w:val="0"/>
              <w:szCs w:val="32"/>
            </w:rPr>
            <w:t>收入支出决算总体情况说明</w:t>
          </w:r>
          <w:r>
            <w:tab/>
          </w:r>
          <w:r>
            <w:fldChar w:fldCharType="begin"/>
          </w:r>
          <w:r>
            <w:instrText xml:space="preserve"> PAGEREF _Toc31473 \h </w:instrText>
          </w:r>
          <w:r>
            <w:fldChar w:fldCharType="separate"/>
          </w:r>
          <w:r>
            <w:t>- 7 -</w:t>
          </w:r>
          <w:r>
            <w:fldChar w:fldCharType="end"/>
          </w:r>
          <w:r>
            <w:rPr>
              <w:rFonts w:hint="eastAsia" w:ascii="仿宋_GB2312" w:hAnsi="仿宋_GB2312" w:eastAsia="仿宋_GB2312" w:cs="仿宋_GB2312"/>
              <w:kern w:val="0"/>
              <w:szCs w:val="32"/>
            </w:rPr>
            <w:fldChar w:fldCharType="end"/>
          </w:r>
        </w:p>
        <w:p w14:paraId="7122F7DE">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_Toc11756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二、收入决算情况说明</w:t>
          </w:r>
          <w:r>
            <w:tab/>
          </w:r>
          <w:r>
            <w:fldChar w:fldCharType="begin"/>
          </w:r>
          <w:r>
            <w:instrText xml:space="preserve"> PAGEREF _Toc11756 \h </w:instrText>
          </w:r>
          <w:r>
            <w:fldChar w:fldCharType="separate"/>
          </w:r>
          <w:r>
            <w:t>- 9 -</w:t>
          </w:r>
          <w:r>
            <w:fldChar w:fldCharType="end"/>
          </w:r>
          <w:r>
            <w:rPr>
              <w:rFonts w:hint="eastAsia" w:ascii="仿宋_GB2312" w:hAnsi="仿宋_GB2312" w:eastAsia="仿宋_GB2312" w:cs="仿宋_GB2312"/>
              <w:kern w:val="0"/>
              <w:szCs w:val="32"/>
            </w:rPr>
            <w:fldChar w:fldCharType="end"/>
          </w:r>
        </w:p>
        <w:p w14:paraId="2C8A5B5D">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_Toc19803 </w:instrText>
          </w:r>
          <w:r>
            <w:rPr>
              <w:rFonts w:hint="eastAsia" w:ascii="仿宋_GB2312" w:hAnsi="仿宋_GB2312" w:eastAsia="仿宋_GB2312" w:cs="仿宋_GB2312"/>
              <w:kern w:val="0"/>
              <w:szCs w:val="32"/>
            </w:rPr>
            <w:fldChar w:fldCharType="separate"/>
          </w:r>
          <w:r>
            <w:rPr>
              <w:rFonts w:hint="eastAsia" w:ascii="黑体" w:hAnsi="黑体" w:eastAsia="黑体" w:cs="黑体"/>
              <w:bCs w:val="0"/>
              <w:kern w:val="0"/>
              <w:szCs w:val="32"/>
              <w:lang w:eastAsia="zh-CN"/>
            </w:rPr>
            <w:t>三、</w:t>
          </w:r>
          <w:r>
            <w:rPr>
              <w:rFonts w:ascii="黑体" w:hAnsi="黑体" w:eastAsia="黑体" w:cs="黑体"/>
              <w:bCs w:val="0"/>
              <w:kern w:val="0"/>
              <w:szCs w:val="32"/>
            </w:rPr>
            <w:t>支出决算情况说明</w:t>
          </w:r>
          <w:r>
            <w:tab/>
          </w:r>
          <w:r>
            <w:fldChar w:fldCharType="begin"/>
          </w:r>
          <w:r>
            <w:instrText xml:space="preserve"> PAGEREF _Toc19803 \h </w:instrText>
          </w:r>
          <w:r>
            <w:fldChar w:fldCharType="separate"/>
          </w:r>
          <w:r>
            <w:t>- 10 -</w:t>
          </w:r>
          <w:r>
            <w:fldChar w:fldCharType="end"/>
          </w:r>
          <w:r>
            <w:rPr>
              <w:rFonts w:hint="eastAsia" w:ascii="仿宋_GB2312" w:hAnsi="仿宋_GB2312" w:eastAsia="仿宋_GB2312" w:cs="仿宋_GB2312"/>
              <w:kern w:val="0"/>
              <w:szCs w:val="32"/>
            </w:rPr>
            <w:fldChar w:fldCharType="end"/>
          </w:r>
        </w:p>
        <w:p w14:paraId="4B101480">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_Toc7896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四、财政拨款收入支出决算总体情况说明</w:t>
          </w:r>
          <w:r>
            <w:tab/>
          </w:r>
          <w:r>
            <w:fldChar w:fldCharType="begin"/>
          </w:r>
          <w:r>
            <w:instrText xml:space="preserve"> PAGEREF _Toc7896 \h </w:instrText>
          </w:r>
          <w:r>
            <w:fldChar w:fldCharType="separate"/>
          </w:r>
          <w:r>
            <w:t>- 11 -</w:t>
          </w:r>
          <w:r>
            <w:fldChar w:fldCharType="end"/>
          </w:r>
          <w:r>
            <w:rPr>
              <w:rFonts w:hint="eastAsia" w:ascii="仿宋_GB2312" w:hAnsi="仿宋_GB2312" w:eastAsia="仿宋_GB2312" w:cs="仿宋_GB2312"/>
              <w:kern w:val="0"/>
              <w:szCs w:val="32"/>
            </w:rPr>
            <w:fldChar w:fldCharType="end"/>
          </w:r>
        </w:p>
        <w:p w14:paraId="6F6E9D4E">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_Toc20527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五、一般公共预算财政拨款支出决算情况说明</w:t>
          </w:r>
          <w:r>
            <w:tab/>
          </w:r>
          <w:r>
            <w:fldChar w:fldCharType="begin"/>
          </w:r>
          <w:r>
            <w:instrText xml:space="preserve"> PAGEREF _Toc20527 \h </w:instrText>
          </w:r>
          <w:r>
            <w:fldChar w:fldCharType="separate"/>
          </w:r>
          <w:r>
            <w:t>- 12 -</w:t>
          </w:r>
          <w:r>
            <w:fldChar w:fldCharType="end"/>
          </w:r>
          <w:r>
            <w:rPr>
              <w:rFonts w:hint="eastAsia" w:ascii="仿宋_GB2312" w:hAnsi="仿宋_GB2312" w:eastAsia="仿宋_GB2312" w:cs="仿宋_GB2312"/>
              <w:kern w:val="0"/>
              <w:szCs w:val="32"/>
            </w:rPr>
            <w:fldChar w:fldCharType="end"/>
          </w:r>
        </w:p>
        <w:p w14:paraId="2E3529BC">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_Toc27443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六、一般公共预算财政拨款基本支出决算情况说明</w:t>
          </w:r>
          <w:r>
            <w:tab/>
          </w:r>
          <w:r>
            <w:fldChar w:fldCharType="begin"/>
          </w:r>
          <w:r>
            <w:instrText xml:space="preserve"> PAGEREF _Toc27443 \h </w:instrText>
          </w:r>
          <w:r>
            <w:fldChar w:fldCharType="separate"/>
          </w:r>
          <w:r>
            <w:t>- 16 -</w:t>
          </w:r>
          <w:r>
            <w:fldChar w:fldCharType="end"/>
          </w:r>
          <w:r>
            <w:rPr>
              <w:rFonts w:hint="eastAsia" w:ascii="仿宋_GB2312" w:hAnsi="仿宋_GB2312" w:eastAsia="仿宋_GB2312" w:cs="仿宋_GB2312"/>
              <w:kern w:val="0"/>
              <w:szCs w:val="32"/>
            </w:rPr>
            <w:fldChar w:fldCharType="end"/>
          </w:r>
        </w:p>
        <w:p w14:paraId="38C88820">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_Toc27582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七、一般公共预算财政拨款项目支出决算情况说明</w:t>
          </w:r>
          <w:r>
            <w:tab/>
          </w:r>
          <w:r>
            <w:fldChar w:fldCharType="begin"/>
          </w:r>
          <w:r>
            <w:instrText xml:space="preserve"> PAGEREF _Toc27582 \h </w:instrText>
          </w:r>
          <w:r>
            <w:fldChar w:fldCharType="separate"/>
          </w:r>
          <w:r>
            <w:t>- 17 -</w:t>
          </w:r>
          <w:r>
            <w:fldChar w:fldCharType="end"/>
          </w:r>
          <w:r>
            <w:rPr>
              <w:rFonts w:hint="eastAsia" w:ascii="仿宋_GB2312" w:hAnsi="仿宋_GB2312" w:eastAsia="仿宋_GB2312" w:cs="仿宋_GB2312"/>
              <w:kern w:val="0"/>
              <w:szCs w:val="32"/>
            </w:rPr>
            <w:fldChar w:fldCharType="end"/>
          </w:r>
        </w:p>
        <w:p w14:paraId="7DB02ACF">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_Toc6470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八、财政拨款“三公”经费支出决算情况说明</w:t>
          </w:r>
          <w:r>
            <w:tab/>
          </w:r>
          <w:r>
            <w:fldChar w:fldCharType="begin"/>
          </w:r>
          <w:r>
            <w:instrText xml:space="preserve"> PAGEREF _Toc6470 \h </w:instrText>
          </w:r>
          <w:r>
            <w:fldChar w:fldCharType="separate"/>
          </w:r>
          <w:r>
            <w:t>- 18 -</w:t>
          </w:r>
          <w:r>
            <w:fldChar w:fldCharType="end"/>
          </w:r>
          <w:r>
            <w:rPr>
              <w:rFonts w:hint="eastAsia" w:ascii="仿宋_GB2312" w:hAnsi="仿宋_GB2312" w:eastAsia="仿宋_GB2312" w:cs="仿宋_GB2312"/>
              <w:kern w:val="0"/>
              <w:szCs w:val="32"/>
            </w:rPr>
            <w:fldChar w:fldCharType="end"/>
          </w:r>
        </w:p>
        <w:p w14:paraId="52788621">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_Toc22374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九、政府性基金预算财政拨款支出决算情况说明</w:t>
          </w:r>
          <w:r>
            <w:tab/>
          </w:r>
          <w:r>
            <w:fldChar w:fldCharType="begin"/>
          </w:r>
          <w:r>
            <w:instrText xml:space="preserve"> PAGEREF _Toc22374 \h </w:instrText>
          </w:r>
          <w:r>
            <w:fldChar w:fldCharType="separate"/>
          </w:r>
          <w:r>
            <w:t>- 20 -</w:t>
          </w:r>
          <w:r>
            <w:fldChar w:fldCharType="end"/>
          </w:r>
          <w:r>
            <w:rPr>
              <w:rFonts w:hint="eastAsia" w:ascii="仿宋_GB2312" w:hAnsi="仿宋_GB2312" w:eastAsia="仿宋_GB2312" w:cs="仿宋_GB2312"/>
              <w:kern w:val="0"/>
              <w:szCs w:val="32"/>
            </w:rPr>
            <w:fldChar w:fldCharType="end"/>
          </w:r>
        </w:p>
        <w:p w14:paraId="19F96A40">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_Toc3145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十、国有资本经营预算财政拨款支出决算情况说明</w:t>
          </w:r>
          <w:r>
            <w:tab/>
          </w:r>
          <w:r>
            <w:fldChar w:fldCharType="begin"/>
          </w:r>
          <w:r>
            <w:instrText xml:space="preserve"> PAGEREF _Toc3145 \h </w:instrText>
          </w:r>
          <w:r>
            <w:fldChar w:fldCharType="separate"/>
          </w:r>
          <w:r>
            <w:t>- 20 -</w:t>
          </w:r>
          <w:r>
            <w:fldChar w:fldCharType="end"/>
          </w:r>
          <w:r>
            <w:rPr>
              <w:rFonts w:hint="eastAsia" w:ascii="仿宋_GB2312" w:hAnsi="仿宋_GB2312" w:eastAsia="仿宋_GB2312" w:cs="仿宋_GB2312"/>
              <w:kern w:val="0"/>
              <w:szCs w:val="32"/>
            </w:rPr>
            <w:fldChar w:fldCharType="end"/>
          </w:r>
        </w:p>
        <w:p w14:paraId="78F685C8">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_Toc5516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十一、机构运行经费支出决算情况说明</w:t>
          </w:r>
          <w:r>
            <w:tab/>
          </w:r>
          <w:r>
            <w:fldChar w:fldCharType="begin"/>
          </w:r>
          <w:r>
            <w:instrText xml:space="preserve"> PAGEREF _Toc5516 \h </w:instrText>
          </w:r>
          <w:r>
            <w:fldChar w:fldCharType="separate"/>
          </w:r>
          <w:r>
            <w:t>- 20 -</w:t>
          </w:r>
          <w:r>
            <w:fldChar w:fldCharType="end"/>
          </w:r>
          <w:r>
            <w:rPr>
              <w:rFonts w:hint="eastAsia" w:ascii="仿宋_GB2312" w:hAnsi="仿宋_GB2312" w:eastAsia="仿宋_GB2312" w:cs="仿宋_GB2312"/>
              <w:kern w:val="0"/>
              <w:szCs w:val="32"/>
            </w:rPr>
            <w:fldChar w:fldCharType="end"/>
          </w:r>
        </w:p>
        <w:p w14:paraId="2370AA00">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_Toc24818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十二、政府采购支出决算情况说明</w:t>
          </w:r>
          <w:r>
            <w:tab/>
          </w:r>
          <w:r>
            <w:fldChar w:fldCharType="begin"/>
          </w:r>
          <w:r>
            <w:instrText xml:space="preserve"> PAGEREF _Toc24818 \h </w:instrText>
          </w:r>
          <w:r>
            <w:fldChar w:fldCharType="separate"/>
          </w:r>
          <w:r>
            <w:t>- 20 -</w:t>
          </w:r>
          <w:r>
            <w:fldChar w:fldCharType="end"/>
          </w:r>
          <w:r>
            <w:rPr>
              <w:rFonts w:hint="eastAsia" w:ascii="仿宋_GB2312" w:hAnsi="仿宋_GB2312" w:eastAsia="仿宋_GB2312" w:cs="仿宋_GB2312"/>
              <w:kern w:val="0"/>
              <w:szCs w:val="32"/>
            </w:rPr>
            <w:fldChar w:fldCharType="end"/>
          </w:r>
        </w:p>
        <w:p w14:paraId="3C8BD7A0">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_Toc27747 </w:instrText>
          </w:r>
          <w:r>
            <w:rPr>
              <w:rFonts w:hint="eastAsia" w:ascii="仿宋_GB2312" w:hAnsi="仿宋_GB2312" w:eastAsia="仿宋_GB2312" w:cs="仿宋_GB2312"/>
              <w:kern w:val="0"/>
              <w:szCs w:val="32"/>
            </w:rPr>
            <w:fldChar w:fldCharType="separate"/>
          </w:r>
          <w:r>
            <w:rPr>
              <w:rFonts w:ascii="黑体" w:hAnsi="黑体" w:eastAsia="黑体" w:cs="黑体"/>
              <w:bCs w:val="0"/>
              <w:kern w:val="0"/>
              <w:szCs w:val="32"/>
            </w:rPr>
            <w:t>十三、国有资产占用情况说明</w:t>
          </w:r>
          <w:r>
            <w:tab/>
          </w:r>
          <w:r>
            <w:fldChar w:fldCharType="begin"/>
          </w:r>
          <w:r>
            <w:instrText xml:space="preserve"> PAGEREF _Toc27747 \h </w:instrText>
          </w:r>
          <w:r>
            <w:fldChar w:fldCharType="separate"/>
          </w:r>
          <w:r>
            <w:t>- 21 -</w:t>
          </w:r>
          <w:r>
            <w:fldChar w:fldCharType="end"/>
          </w:r>
          <w:r>
            <w:rPr>
              <w:rFonts w:hint="eastAsia" w:ascii="仿宋_GB2312" w:hAnsi="仿宋_GB2312" w:eastAsia="仿宋_GB2312" w:cs="仿宋_GB2312"/>
              <w:kern w:val="0"/>
              <w:szCs w:val="32"/>
            </w:rPr>
            <w:fldChar w:fldCharType="end"/>
          </w:r>
        </w:p>
        <w:p w14:paraId="39F25729">
          <w:pPr>
            <w:pStyle w:val="17"/>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_Toc22423 </w:instrText>
          </w:r>
          <w:r>
            <w:rPr>
              <w:rFonts w:hint="eastAsia" w:ascii="仿宋_GB2312" w:hAnsi="仿宋_GB2312" w:eastAsia="仿宋_GB2312" w:cs="仿宋_GB2312"/>
              <w:kern w:val="0"/>
              <w:szCs w:val="32"/>
            </w:rPr>
            <w:fldChar w:fldCharType="separate"/>
          </w:r>
          <w:r>
            <w:rPr>
              <w:rFonts w:hint="eastAsia" w:ascii="黑体" w:hAnsi="黑体" w:eastAsia="黑体" w:cs="黑体"/>
              <w:bCs w:val="0"/>
              <w:kern w:val="0"/>
              <w:szCs w:val="32"/>
              <w:lang w:eastAsia="zh-CN"/>
            </w:rPr>
            <w:t>十四、</w:t>
          </w:r>
          <w:r>
            <w:rPr>
              <w:rFonts w:ascii="黑体" w:hAnsi="黑体" w:eastAsia="黑体" w:cs="黑体"/>
              <w:bCs w:val="0"/>
              <w:kern w:val="0"/>
              <w:szCs w:val="32"/>
            </w:rPr>
            <w:t>预算绩效情况说明</w:t>
          </w:r>
          <w:r>
            <w:tab/>
          </w:r>
          <w:r>
            <w:fldChar w:fldCharType="begin"/>
          </w:r>
          <w:r>
            <w:instrText xml:space="preserve"> PAGEREF _Toc22423 \h </w:instrText>
          </w:r>
          <w:r>
            <w:fldChar w:fldCharType="separate"/>
          </w:r>
          <w:r>
            <w:t>- 21 -</w:t>
          </w:r>
          <w:r>
            <w:fldChar w:fldCharType="end"/>
          </w:r>
          <w:r>
            <w:rPr>
              <w:rFonts w:hint="eastAsia" w:ascii="仿宋_GB2312" w:hAnsi="仿宋_GB2312" w:eastAsia="仿宋_GB2312" w:cs="仿宋_GB2312"/>
              <w:kern w:val="0"/>
              <w:szCs w:val="32"/>
            </w:rPr>
            <w:fldChar w:fldCharType="end"/>
          </w:r>
        </w:p>
        <w:p w14:paraId="5B52B19C">
          <w:pPr>
            <w:pStyle w:val="14"/>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_Toc10772 </w:instrText>
          </w:r>
          <w:r>
            <w:rPr>
              <w:rFonts w:hint="eastAsia" w:ascii="仿宋_GB2312" w:hAnsi="仿宋_GB2312" w:eastAsia="仿宋_GB2312" w:cs="仿宋_GB2312"/>
              <w:kern w:val="0"/>
              <w:szCs w:val="32"/>
            </w:rPr>
            <w:fldChar w:fldCharType="separate"/>
          </w:r>
          <w:r>
            <w:rPr>
              <w:rFonts w:hint="eastAsia" w:ascii="方正小标宋简体" w:hAnsi="方正小标宋简体" w:eastAsia="方正小标宋简体" w:cs="方正小标宋简体"/>
              <w:kern w:val="0"/>
              <w:szCs w:val="44"/>
            </w:rPr>
            <w:t>第三部分  名词解释</w:t>
          </w:r>
          <w:r>
            <w:tab/>
          </w:r>
          <w:r>
            <w:fldChar w:fldCharType="begin"/>
          </w:r>
          <w:r>
            <w:instrText xml:space="preserve"> PAGEREF _Toc10772 \h </w:instrText>
          </w:r>
          <w:r>
            <w:fldChar w:fldCharType="separate"/>
          </w:r>
          <w:r>
            <w:t>- 45 -</w:t>
          </w:r>
          <w:r>
            <w:fldChar w:fldCharType="end"/>
          </w:r>
          <w:r>
            <w:rPr>
              <w:rFonts w:hint="eastAsia" w:ascii="仿宋_GB2312" w:hAnsi="仿宋_GB2312" w:eastAsia="仿宋_GB2312" w:cs="仿宋_GB2312"/>
              <w:kern w:val="0"/>
              <w:szCs w:val="32"/>
            </w:rPr>
            <w:fldChar w:fldCharType="end"/>
          </w:r>
        </w:p>
        <w:p w14:paraId="3CFDF19E">
          <w:pPr>
            <w:pStyle w:val="14"/>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_Toc65 </w:instrText>
          </w:r>
          <w:r>
            <w:rPr>
              <w:rFonts w:hint="eastAsia" w:ascii="仿宋_GB2312" w:hAnsi="仿宋_GB2312" w:eastAsia="仿宋_GB2312" w:cs="仿宋_GB2312"/>
              <w:kern w:val="0"/>
              <w:szCs w:val="32"/>
            </w:rPr>
            <w:fldChar w:fldCharType="separate"/>
          </w:r>
          <w:r>
            <w:rPr>
              <w:rFonts w:hint="eastAsia" w:ascii="方正小标宋简体" w:hAnsi="方正小标宋简体" w:eastAsia="方正小标宋简体" w:cs="方正小标宋简体"/>
              <w:kern w:val="0"/>
              <w:szCs w:val="44"/>
            </w:rPr>
            <w:t>第四部分 决算公开联系方式及信息反馈渠</w:t>
          </w:r>
          <w:r>
            <w:rPr>
              <w:rFonts w:hint="eastAsia" w:ascii="方正小标宋简体" w:hAnsi="方正小标宋简体" w:eastAsia="方正小标宋简体" w:cs="方正小标宋简体"/>
              <w:kern w:val="0"/>
              <w:szCs w:val="44"/>
              <w:lang w:eastAsia="zh-CN"/>
            </w:rPr>
            <w:t>道</w:t>
          </w:r>
          <w:r>
            <w:tab/>
          </w:r>
          <w:r>
            <w:fldChar w:fldCharType="begin"/>
          </w:r>
          <w:r>
            <w:instrText xml:space="preserve"> PAGEREF _Toc65 \h </w:instrText>
          </w:r>
          <w:r>
            <w:fldChar w:fldCharType="separate"/>
          </w:r>
          <w:r>
            <w:t>- 47 -</w:t>
          </w:r>
          <w:r>
            <w:fldChar w:fldCharType="end"/>
          </w:r>
          <w:r>
            <w:rPr>
              <w:rFonts w:hint="eastAsia" w:ascii="仿宋_GB2312" w:hAnsi="仿宋_GB2312" w:eastAsia="仿宋_GB2312" w:cs="仿宋_GB2312"/>
              <w:kern w:val="0"/>
              <w:szCs w:val="32"/>
            </w:rPr>
            <w:fldChar w:fldCharType="end"/>
          </w:r>
        </w:p>
        <w:p w14:paraId="789B27EB">
          <w:pPr>
            <w:pStyle w:val="14"/>
            <w:tabs>
              <w:tab w:val="right" w:leader="dot" w:pos="9081"/>
            </w:tabs>
          </w:pP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\l _Toc14081 </w:instrText>
          </w:r>
          <w:r>
            <w:rPr>
              <w:rFonts w:hint="eastAsia" w:ascii="仿宋_GB2312" w:hAnsi="仿宋_GB2312" w:eastAsia="仿宋_GB2312" w:cs="仿宋_GB2312"/>
              <w:kern w:val="0"/>
              <w:szCs w:val="32"/>
            </w:rPr>
            <w:fldChar w:fldCharType="separate"/>
          </w:r>
          <w:r>
            <w:rPr>
              <w:rFonts w:hint="eastAsia" w:ascii="方正小标宋简体" w:hAnsi="方正小标宋简体" w:eastAsia="方正小标宋简体" w:cs="方正小标宋简体"/>
              <w:bCs w:val="0"/>
              <w:kern w:val="0"/>
              <w:szCs w:val="44"/>
            </w:rPr>
            <w:t>第五部分</w:t>
          </w:r>
          <w:r>
            <w:rPr>
              <w:rFonts w:hint="eastAsia" w:ascii="方正小标宋简体" w:hAnsi="方正小标宋简体" w:eastAsia="方正小标宋简体" w:cs="方正小标宋简体"/>
              <w:bCs w:val="0"/>
              <w:kern w:val="0"/>
              <w:szCs w:val="44"/>
              <w:lang w:val="en-US" w:eastAsia="zh-CN"/>
            </w:rPr>
            <w:t xml:space="preserve"> </w:t>
          </w:r>
          <w:r>
            <w:rPr>
              <w:rFonts w:hint="eastAsia" w:ascii="方正小标宋简体" w:hAnsi="方正小标宋简体" w:eastAsia="方正小标宋简体" w:cs="方正小标宋简体"/>
              <w:bCs w:val="0"/>
              <w:kern w:val="0"/>
              <w:szCs w:val="44"/>
            </w:rPr>
            <w:t>单位决算表</w:t>
          </w:r>
          <w:r>
            <w:tab/>
          </w:r>
          <w:r>
            <w:fldChar w:fldCharType="begin"/>
          </w:r>
          <w:r>
            <w:instrText xml:space="preserve"> PAGEREF _Toc14081 \h </w:instrText>
          </w:r>
          <w:r>
            <w:fldChar w:fldCharType="separate"/>
          </w:r>
          <w:r>
            <w:t>- 47 -</w:t>
          </w:r>
          <w:r>
            <w:fldChar w:fldCharType="end"/>
          </w:r>
          <w:r>
            <w:rPr>
              <w:rFonts w:hint="eastAsia" w:ascii="仿宋_GB2312" w:hAnsi="仿宋_GB2312" w:eastAsia="仿宋_GB2312" w:cs="仿宋_GB2312"/>
              <w:kern w:val="0"/>
              <w:szCs w:val="32"/>
            </w:rPr>
            <w:fldChar w:fldCharType="end"/>
          </w:r>
        </w:p>
        <w:p w14:paraId="741FCAB7">
          <w:pPr>
            <w:pStyle w:val="17"/>
            <w:tabs>
              <w:tab w:val="right" w:leader="dot" w:pos="9081"/>
            </w:tabs>
            <w:rPr>
              <w:rFonts w:hint="eastAsia" w:ascii="黑体" w:hAnsi="黑体" w:eastAsia="黑体" w:cs="黑体"/>
              <w:kern w:val="0"/>
              <w:szCs w:val="32"/>
              <w:lang w:val="en-US" w:eastAsia="zh-CN"/>
            </w:rPr>
          </w:pPr>
          <w:r>
            <w:rPr>
              <w:rFonts w:hint="eastAsia" w:ascii="仿宋_GB2312" w:hAnsi="仿宋_GB2312" w:eastAsia="仿宋_GB2312" w:cs="仿宋_GB2312"/>
              <w:kern w:val="0"/>
              <w:szCs w:val="32"/>
            </w:rPr>
            <w:fldChar w:fldCharType="end"/>
          </w:r>
          <w:r>
            <w:rPr>
              <w:rFonts w:hint="eastAsia" w:ascii="黑体" w:hAnsi="黑体" w:eastAsia="黑体" w:cs="黑体"/>
              <w:kern w:val="0"/>
              <w:szCs w:val="32"/>
              <w:lang w:val="en-US" w:eastAsia="zh-CN"/>
            </w:rPr>
            <w:t>一、收入支出决算总表</w:t>
          </w:r>
        </w:p>
        <w:p w14:paraId="0C348E71">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二、收入决算表</w:t>
          </w:r>
        </w:p>
        <w:p w14:paraId="5C95664D">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三、支出决算表</w:t>
          </w:r>
        </w:p>
        <w:p w14:paraId="69E43DB6">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四、财政拨款收入支出决算总表</w:t>
          </w:r>
        </w:p>
        <w:p w14:paraId="54129290">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五、一般公共预算财政拨款支出决算表</w:t>
          </w:r>
        </w:p>
        <w:p w14:paraId="1BF8314D">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六、一般公共预算财政拨款基本支出决算明细表</w:t>
          </w:r>
        </w:p>
        <w:p w14:paraId="055CE257">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七、一般公共预算财政拨款项目支出决算明细表</w:t>
          </w:r>
        </w:p>
        <w:p w14:paraId="1E0B4813">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八、政府性基金预算财政拨款收入支出决算表</w:t>
          </w:r>
        </w:p>
        <w:p w14:paraId="75DBB4A7">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九、国有资本经营预算财政拨款支出决算表</w:t>
          </w:r>
        </w:p>
        <w:p w14:paraId="747C3BB3">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十、财政拨款“三公”经费支出决算表</w:t>
          </w:r>
        </w:p>
        <w:p w14:paraId="1570BD83">
          <w:pPr>
            <w:pStyle w:val="17"/>
            <w:tabs>
              <w:tab w:val="right" w:leader="dot" w:pos="9081"/>
            </w:tabs>
            <w:rPr>
              <w:rFonts w:hint="eastAsia" w:ascii="黑体" w:hAnsi="黑体" w:eastAsia="黑体" w:cs="黑体"/>
              <w:kern w:val="0"/>
              <w:szCs w:val="32"/>
              <w:lang w:val="en-US" w:eastAsia="zh-CN"/>
            </w:rPr>
          </w:pPr>
          <w:r>
            <w:rPr>
              <w:rFonts w:hint="eastAsia" w:ascii="黑体" w:hAnsi="黑体" w:eastAsia="黑体" w:cs="黑体"/>
              <w:kern w:val="0"/>
              <w:szCs w:val="32"/>
              <w:lang w:val="en-US" w:eastAsia="zh-CN"/>
            </w:rPr>
            <w:t>十一、机构运行经费支出、国有资产占用情况及政府采购支出信息表</w:t>
          </w:r>
        </w:p>
        <w:p w14:paraId="2CB8431A">
          <w:pPr>
            <w:pageBreakBefore w:val="0"/>
            <w:widowControl/>
            <w:kinsoku/>
            <w:wordWrap/>
            <w:overflowPunct/>
            <w:topLinePunct w:val="0"/>
            <w:autoSpaceDE/>
            <w:autoSpaceDN/>
            <w:bidi w:val="0"/>
            <w:spacing w:before="240" w:after="240" w:line="560" w:lineRule="exact"/>
            <w:jc w:val="left"/>
            <w:textAlignment w:val="auto"/>
            <w:rPr>
              <w:rFonts w:hint="eastAsia" w:ascii="黑体" w:hAnsi="黑体" w:eastAsia="黑体" w:cs="黑体"/>
              <w:bCs w:val="0"/>
              <w:iCs/>
              <w:kern w:val="0"/>
              <w:sz w:val="24"/>
              <w:szCs w:val="32"/>
              <w:lang w:val="en-US" w:eastAsia="zh-CN" w:bidi="ar-SA"/>
            </w:rPr>
          </w:pPr>
        </w:p>
      </w:sdtContent>
    </w:sdt>
    <w:p w14:paraId="54E9ED78">
      <w:pPr>
        <w:pageBreakBefore w:val="0"/>
        <w:widowControl/>
        <w:kinsoku/>
        <w:wordWrap/>
        <w:overflowPunct/>
        <w:topLinePunct w:val="0"/>
        <w:autoSpaceDE/>
        <w:autoSpaceDN/>
        <w:bidi w:val="0"/>
        <w:spacing w:before="240" w:after="240" w:line="560" w:lineRule="exact"/>
        <w:jc w:val="left"/>
        <w:textAlignment w:val="auto"/>
        <w:rPr>
          <w:rFonts w:hint="eastAsia" w:ascii="仿宋_GB2312" w:hAnsi="仿宋_GB2312" w:eastAsia="仿宋_GB2312" w:cs="仿宋_GB2312"/>
          <w:b/>
          <w:kern w:val="0"/>
          <w:sz w:val="21"/>
          <w:szCs w:val="32"/>
          <w:lang w:val="en-US" w:eastAsia="zh-CN" w:bidi="ar-SA"/>
        </w:rPr>
      </w:pPr>
    </w:p>
    <w:p w14:paraId="77B5486A">
      <w:pPr>
        <w:pageBreakBefore w:val="0"/>
        <w:widowControl/>
        <w:kinsoku/>
        <w:wordWrap/>
        <w:overflowPunct/>
        <w:topLinePunct w:val="0"/>
        <w:autoSpaceDE/>
        <w:autoSpaceDN/>
        <w:bidi w:val="0"/>
        <w:spacing w:before="240" w:after="240" w:line="560" w:lineRule="exact"/>
        <w:jc w:val="left"/>
        <w:textAlignment w:val="auto"/>
        <w:rPr>
          <w:rFonts w:hint="eastAsia" w:ascii="仿宋_GB2312" w:hAnsi="仿宋_GB2312" w:eastAsia="仿宋_GB2312" w:cs="仿宋_GB2312"/>
          <w:kern w:val="0"/>
          <w:sz w:val="32"/>
          <w:szCs w:val="32"/>
        </w:rPr>
      </w:pPr>
    </w:p>
    <w:p w14:paraId="4E8D24CF">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73D9A989">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5014B611">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1B31DF1D">
      <w:pPr>
        <w:keepNext w:val="0"/>
        <w:keepLines w:val="0"/>
        <w:pageBreakBefore w:val="0"/>
        <w:widowControl/>
        <w:kinsoku/>
        <w:wordWrap/>
        <w:overflowPunct/>
        <w:topLinePunct w:val="0"/>
        <w:autoSpaceDE/>
        <w:autoSpaceDN/>
        <w:bidi w:val="0"/>
        <w:adjustRightInd/>
        <w:snapToGrid/>
        <w:spacing w:line="560" w:lineRule="atLeast"/>
        <w:ind w:firstLine="2640" w:firstLineChars="600"/>
        <w:jc w:val="both"/>
        <w:textAlignment w:val="auto"/>
        <w:rPr>
          <w:rFonts w:hint="eastAsia" w:ascii="方正小标宋简体" w:hAnsi="方正小标宋简体" w:eastAsia="方正小标宋简体" w:cs="方正小标宋简体"/>
          <w:b w:val="0"/>
          <w:bCs w:val="0"/>
          <w:color w:val="000000"/>
          <w:kern w:val="0"/>
          <w:sz w:val="44"/>
          <w:szCs w:val="44"/>
        </w:rPr>
        <w:sectPr>
          <w:footerReference r:id="rId3" w:type="default"/>
          <w:pgSz w:w="11915" w:h="16851"/>
          <w:pgMar w:top="1417" w:right="1417" w:bottom="1417" w:left="1417" w:header="851" w:footer="992" w:gutter="0"/>
          <w:pgNumType w:fmt="numberInDash" w:start="1"/>
          <w:cols w:space="0" w:num="1"/>
          <w:docGrid w:type="lines" w:linePitch="312" w:charSpace="0"/>
        </w:sectPr>
      </w:pPr>
    </w:p>
    <w:p w14:paraId="7265DC3C">
      <w:pPr>
        <w:keepNext w:val="0"/>
        <w:keepLines w:val="0"/>
        <w:pageBreakBefore w:val="0"/>
        <w:widowControl/>
        <w:kinsoku/>
        <w:wordWrap/>
        <w:overflowPunct/>
        <w:topLinePunct w:val="0"/>
        <w:autoSpaceDE/>
        <w:autoSpaceDN/>
        <w:bidi w:val="0"/>
        <w:adjustRightInd/>
        <w:snapToGrid/>
        <w:spacing w:line="560" w:lineRule="atLeast"/>
        <w:ind w:firstLine="2640" w:firstLineChars="600"/>
        <w:jc w:val="both"/>
        <w:textAlignment w:val="auto"/>
        <w:outlineLvl w:val="0"/>
        <w:rPr>
          <w:rFonts w:hint="eastAsia" w:ascii="方正小标宋简体" w:hAnsi="方正小标宋简体" w:eastAsia="方正小标宋简体" w:cs="方正小标宋简体"/>
          <w:b w:val="0"/>
          <w:bCs w:val="0"/>
          <w:color w:val="000000"/>
          <w:kern w:val="0"/>
          <w:sz w:val="44"/>
          <w:szCs w:val="44"/>
        </w:rPr>
      </w:pPr>
      <w:bookmarkStart w:id="1" w:name="_Toc13296"/>
      <w:r>
        <w:rPr>
          <w:rFonts w:hint="eastAsia" w:ascii="方正小标宋简体" w:hAnsi="方正小标宋简体" w:eastAsia="方正小标宋简体" w:cs="方正小标宋简体"/>
          <w:b w:val="0"/>
          <w:bCs w:val="0"/>
          <w:color w:val="000000"/>
          <w:kern w:val="0"/>
          <w:sz w:val="44"/>
          <w:szCs w:val="44"/>
        </w:rPr>
        <w:t>第一部分 单位概况</w:t>
      </w:r>
      <w:bookmarkEnd w:id="1"/>
    </w:p>
    <w:p w14:paraId="17E03045">
      <w:pPr>
        <w:keepNext w:val="0"/>
        <w:keepLines w:val="0"/>
        <w:pageBreakBefore w:val="0"/>
        <w:widowControl/>
        <w:kinsoku/>
        <w:wordWrap/>
        <w:overflowPunct/>
        <w:topLinePunct w:val="0"/>
        <w:autoSpaceDE/>
        <w:autoSpaceDN/>
        <w:bidi w:val="0"/>
        <w:adjustRightInd/>
        <w:snapToGrid/>
        <w:spacing w:line="560" w:lineRule="atLeast"/>
        <w:ind w:firstLine="643" w:firstLineChars="200"/>
        <w:jc w:val="left"/>
        <w:textAlignment w:val="auto"/>
        <w:outlineLvl w:val="1"/>
        <w:rPr>
          <w:rFonts w:ascii="黑体" w:hAnsi="黑体" w:eastAsia="黑体" w:cs="黑体"/>
          <w:b/>
          <w:bCs/>
          <w:kern w:val="0"/>
          <w:sz w:val="32"/>
          <w:szCs w:val="32"/>
        </w:rPr>
      </w:pPr>
      <w:bookmarkStart w:id="2" w:name="_Toc4379"/>
      <w:r>
        <w:rPr>
          <w:rFonts w:ascii="黑体" w:hAnsi="黑体" w:eastAsia="黑体" w:cs="黑体"/>
          <w:b/>
          <w:bCs/>
          <w:kern w:val="0"/>
          <w:sz w:val="32"/>
          <w:szCs w:val="32"/>
        </w:rPr>
        <w:t>一、主要职能、职责</w:t>
      </w:r>
      <w:bookmarkEnd w:id="2"/>
    </w:p>
    <w:p w14:paraId="7BB53B6E">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鄂尔多斯市疾病预防控制中心是鄂尔多斯市卫生健康委员会直属二级单位，为正处级。</w:t>
      </w:r>
    </w:p>
    <w:p w14:paraId="626A81CD">
      <w:pPr>
        <w:keepNext w:val="0"/>
        <w:keepLines w:val="0"/>
        <w:pageBreakBefore w:val="0"/>
        <w:widowControl/>
        <w:kinsoku/>
        <w:wordWrap/>
        <w:overflowPunct/>
        <w:topLinePunct w:val="0"/>
        <w:autoSpaceDE/>
        <w:autoSpaceDN/>
        <w:bidi w:val="0"/>
        <w:adjustRightInd/>
        <w:snapToGrid/>
        <w:spacing w:line="560" w:lineRule="atLeast"/>
        <w:ind w:firstLine="696" w:firstLineChars="200"/>
        <w:jc w:val="left"/>
        <w:textAlignment w:val="auto"/>
        <w:rPr>
          <w:rFonts w:hint="eastAsia" w:ascii="仿宋_GB2312" w:hAnsi="仿宋_GB2312" w:eastAsia="仿宋_GB2312" w:cs="仿宋_GB2312"/>
          <w:spacing w:val="14"/>
          <w:kern w:val="0"/>
          <w:sz w:val="32"/>
          <w:szCs w:val="32"/>
          <w:lang w:eastAsia="zh-CN"/>
        </w:rPr>
      </w:pPr>
      <w:r>
        <w:rPr>
          <w:rFonts w:hint="eastAsia" w:ascii="仿宋_GB2312" w:hAnsi="仿宋_GB2312" w:eastAsia="仿宋_GB2312" w:cs="仿宋_GB2312"/>
          <w:spacing w:val="14"/>
          <w:kern w:val="0"/>
          <w:sz w:val="32"/>
          <w:szCs w:val="32"/>
        </w:rPr>
        <w:t>鄂尔多斯市疾病预防控制中心主要职责为：开展疾病（包括传染病、地方病、包虫病和慢性非传染性的疾病）预防控制、突</w:t>
      </w:r>
      <w:r>
        <w:rPr>
          <w:rFonts w:hint="eastAsia" w:ascii="仿宋_GB2312" w:hAnsi="仿宋_GB2312" w:eastAsia="仿宋_GB2312" w:cs="仿宋_GB2312"/>
          <w:spacing w:val="15"/>
          <w:kern w:val="0"/>
          <w:sz w:val="32"/>
          <w:szCs w:val="32"/>
        </w:rPr>
        <w:t>发公共卫生事件应急、环境与职业健康、营养健康、免疫规划、</w:t>
      </w:r>
      <w:r>
        <w:rPr>
          <w:rFonts w:hint="eastAsia" w:ascii="仿宋_GB2312" w:hAnsi="仿宋_GB2312" w:eastAsia="仿宋_GB2312" w:cs="仿宋_GB2312"/>
          <w:spacing w:val="19"/>
          <w:kern w:val="0"/>
          <w:sz w:val="32"/>
          <w:szCs w:val="32"/>
        </w:rPr>
        <w:t>老龄健康、妇幼健康、放射卫生和学校卫生等工作,为地方制定</w:t>
      </w:r>
      <w:r>
        <w:rPr>
          <w:rFonts w:hint="eastAsia" w:ascii="仿宋_GB2312" w:hAnsi="仿宋_GB2312" w:eastAsia="仿宋_GB2312" w:cs="仿宋_GB2312"/>
          <w:spacing w:val="7"/>
          <w:kern w:val="0"/>
          <w:sz w:val="32"/>
          <w:szCs w:val="32"/>
        </w:rPr>
        <w:t>公共卫生法律法规、政策、规划、项目等提</w:t>
      </w:r>
      <w:r>
        <w:rPr>
          <w:rFonts w:hint="eastAsia" w:ascii="仿宋_GB2312" w:hAnsi="仿宋_GB2312" w:eastAsia="仿宋_GB2312" w:cs="仿宋_GB2312"/>
          <w:spacing w:val="6"/>
          <w:kern w:val="0"/>
          <w:sz w:val="32"/>
          <w:szCs w:val="32"/>
        </w:rPr>
        <w:t>供技术支撑和咨询建；</w:t>
      </w:r>
      <w:r>
        <w:rPr>
          <w:rFonts w:hint="eastAsia" w:ascii="仿宋_GB2312" w:hAnsi="仿宋_GB2312" w:eastAsia="仿宋_GB2312" w:cs="仿宋_GB2312"/>
          <w:spacing w:val="14"/>
          <w:kern w:val="0"/>
          <w:sz w:val="32"/>
          <w:szCs w:val="32"/>
        </w:rPr>
        <w:t>组织制定地方性公共卫生技术方案和指南，承担公共卫生相关标准综合管理工作；承担实验室生物安全指导和爱国卫生运动技术支撑工作及烟草控制技术支撑工作；开展健康教育、健康科普和健康促进工作；开展传染病、慢性病、职业病、地方病、突发公共卫生事件和疑似预防接种异常反应监测及国民健康状况监测与</w:t>
      </w:r>
      <w:r>
        <w:rPr>
          <w:rFonts w:hint="eastAsia" w:ascii="仿宋_GB2312" w:hAnsi="仿宋_GB2312" w:eastAsia="仿宋_GB2312" w:cs="仿宋_GB2312"/>
          <w:spacing w:val="19"/>
          <w:kern w:val="0"/>
          <w:sz w:val="32"/>
          <w:szCs w:val="32"/>
        </w:rPr>
        <w:t>评价,开展重大公共卫生问题的调查与危害风险评估；研究制定</w:t>
      </w:r>
      <w:r>
        <w:rPr>
          <w:rFonts w:hint="eastAsia" w:ascii="仿宋_GB2312" w:hAnsi="仿宋_GB2312" w:eastAsia="仿宋_GB2312" w:cs="仿宋_GB2312"/>
          <w:spacing w:val="14"/>
          <w:kern w:val="0"/>
          <w:sz w:val="32"/>
          <w:szCs w:val="32"/>
        </w:rPr>
        <w:t>重大公共卫生问题的干预措施和国家免疫规划并组织实施</w:t>
      </w:r>
      <w:r>
        <w:rPr>
          <w:rFonts w:hint="eastAsia" w:ascii="仿宋_GB2312" w:hAnsi="仿宋_GB2312" w:eastAsia="仿宋_GB2312" w:cs="仿宋_GB2312"/>
          <w:spacing w:val="14"/>
          <w:kern w:val="0"/>
          <w:sz w:val="32"/>
          <w:szCs w:val="32"/>
          <w:lang w:eastAsia="zh-CN"/>
        </w:rPr>
        <w:t>。</w:t>
      </w:r>
      <w:r>
        <w:rPr>
          <w:rFonts w:hint="eastAsia" w:ascii="仿宋_GB2312" w:hAnsi="仿宋_GB2312" w:eastAsia="仿宋_GB2312" w:cs="仿宋_GB2312"/>
          <w:spacing w:val="14"/>
          <w:kern w:val="0"/>
          <w:sz w:val="32"/>
          <w:szCs w:val="32"/>
        </w:rPr>
        <w:t>规范</w:t>
      </w:r>
      <w:r>
        <w:rPr>
          <w:rFonts w:hint="eastAsia" w:ascii="仿宋_GB2312" w:hAnsi="仿宋_GB2312" w:eastAsia="仿宋_GB2312" w:cs="仿宋_GB2312"/>
          <w:spacing w:val="13"/>
          <w:kern w:val="0"/>
          <w:sz w:val="32"/>
          <w:szCs w:val="32"/>
        </w:rPr>
        <w:t>管理疾控信息系统及大数据，依法依规及时填</w:t>
      </w:r>
      <w:r>
        <w:rPr>
          <w:rFonts w:hint="eastAsia" w:ascii="仿宋_GB2312" w:hAnsi="仿宋_GB2312" w:eastAsia="仿宋_GB2312" w:cs="仿宋_GB2312"/>
          <w:spacing w:val="12"/>
          <w:kern w:val="0"/>
          <w:sz w:val="32"/>
          <w:szCs w:val="32"/>
        </w:rPr>
        <w:t>报健康相关信息；</w:t>
      </w:r>
      <w:r>
        <w:rPr>
          <w:rFonts w:hint="eastAsia" w:ascii="仿宋_GB2312" w:hAnsi="仿宋_GB2312" w:eastAsia="仿宋_GB2312" w:cs="仿宋_GB2312"/>
          <w:spacing w:val="14"/>
          <w:kern w:val="0"/>
          <w:sz w:val="32"/>
          <w:szCs w:val="32"/>
        </w:rPr>
        <w:t>按照食品安全事故流行病学调查和卫生处理相关技术规范，参与</w:t>
      </w:r>
      <w:r>
        <w:rPr>
          <w:rFonts w:hint="eastAsia" w:ascii="仿宋_GB2312" w:hAnsi="仿宋_GB2312" w:eastAsia="仿宋_GB2312" w:cs="仿宋_GB2312"/>
          <w:spacing w:val="10"/>
          <w:kern w:val="0"/>
          <w:sz w:val="32"/>
          <w:szCs w:val="32"/>
        </w:rPr>
        <w:t>本地公共卫生应急准备和应对,指导地方突发公共卫生事件调查、</w:t>
      </w:r>
      <w:r>
        <w:rPr>
          <w:rFonts w:hint="eastAsia" w:ascii="仿宋_GB2312" w:hAnsi="仿宋_GB2312" w:eastAsia="仿宋_GB2312" w:cs="仿宋_GB2312"/>
          <w:spacing w:val="14"/>
          <w:kern w:val="0"/>
          <w:sz w:val="32"/>
          <w:szCs w:val="32"/>
        </w:rPr>
        <w:t>处置和应急能力建设以及食品安全事故流行病学调查。五是开展疾病预防控制、突发公共卫生事件应急、公众健康的科学研究和技术开发，推广疾病预防控制新理论、新技术、新方法</w:t>
      </w:r>
      <w:r>
        <w:rPr>
          <w:rFonts w:hint="eastAsia" w:ascii="仿宋_GB2312" w:hAnsi="仿宋_GB2312" w:eastAsia="仿宋_GB2312" w:cs="仿宋_GB2312"/>
          <w:spacing w:val="14"/>
          <w:kern w:val="0"/>
          <w:sz w:val="32"/>
          <w:szCs w:val="32"/>
          <w:lang w:eastAsia="zh-CN"/>
        </w:rPr>
        <w:t>；</w:t>
      </w:r>
      <w:r>
        <w:rPr>
          <w:rFonts w:hint="eastAsia" w:ascii="仿宋_GB2312" w:hAnsi="仿宋_GB2312" w:eastAsia="仿宋_GB2312" w:cs="仿宋_GB2312"/>
          <w:spacing w:val="14"/>
          <w:kern w:val="0"/>
          <w:sz w:val="32"/>
          <w:szCs w:val="32"/>
        </w:rPr>
        <w:t>开展公共卫生专业领域继续教育和相关专</w:t>
      </w:r>
      <w:r>
        <w:rPr>
          <w:rFonts w:hint="eastAsia" w:ascii="仿宋_GB2312" w:hAnsi="仿宋_GB2312" w:eastAsia="仿宋_GB2312" w:cs="仿宋_GB2312"/>
          <w:spacing w:val="14"/>
          <w:kern w:val="0"/>
          <w:sz w:val="32"/>
          <w:szCs w:val="32"/>
          <w:lang w:eastAsia="zh-CN"/>
        </w:rPr>
        <w:t>业</w:t>
      </w:r>
      <w:r>
        <w:rPr>
          <w:rFonts w:hint="eastAsia" w:ascii="仿宋_GB2312" w:hAnsi="仿宋_GB2312" w:eastAsia="仿宋_GB2312" w:cs="仿宋_GB2312"/>
          <w:spacing w:val="14"/>
          <w:kern w:val="0"/>
          <w:sz w:val="32"/>
          <w:szCs w:val="32"/>
        </w:rPr>
        <w:t>技术培训；按照要求实施国家疾病预防控制规划和项目</w:t>
      </w:r>
      <w:r>
        <w:rPr>
          <w:rFonts w:hint="eastAsia" w:ascii="仿宋_GB2312" w:hAnsi="仿宋_GB2312" w:eastAsia="仿宋_GB2312" w:cs="仿宋_GB2312"/>
          <w:spacing w:val="14"/>
          <w:kern w:val="0"/>
          <w:sz w:val="32"/>
          <w:szCs w:val="32"/>
          <w:lang w:eastAsia="zh-CN"/>
        </w:rPr>
        <w:t>，</w:t>
      </w:r>
      <w:r>
        <w:rPr>
          <w:rFonts w:hint="eastAsia" w:ascii="仿宋_GB2312" w:hAnsi="仿宋_GB2312" w:eastAsia="仿宋_GB2312" w:cs="仿宋_GB2312"/>
          <w:spacing w:val="14"/>
          <w:kern w:val="0"/>
          <w:sz w:val="32"/>
          <w:szCs w:val="32"/>
        </w:rPr>
        <w:t>对相关机构开展业务指导，参与专业技术考核和评价相关工作；开展公共卫生活动和公共卫生领域的国际交流与合作，承办卫生健康主管部门交办的其他事项</w:t>
      </w:r>
      <w:r>
        <w:rPr>
          <w:rFonts w:hint="eastAsia" w:ascii="仿宋_GB2312" w:hAnsi="仿宋_GB2312" w:eastAsia="仿宋_GB2312" w:cs="仿宋_GB2312"/>
          <w:spacing w:val="14"/>
          <w:kern w:val="0"/>
          <w:sz w:val="32"/>
          <w:szCs w:val="32"/>
          <w:lang w:eastAsia="zh-CN"/>
        </w:rPr>
        <w:t>。</w:t>
      </w:r>
    </w:p>
    <w:p w14:paraId="0A1D3696">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3" w:firstLineChars="200"/>
        <w:jc w:val="left"/>
        <w:textAlignment w:val="auto"/>
        <w:outlineLvl w:val="1"/>
        <w:rPr>
          <w:rFonts w:hint="eastAsia" w:ascii="仿宋_GB2312" w:hAnsi="仿宋_GB2312" w:eastAsia="仿宋_GB2312" w:cs="仿宋_GB2312"/>
          <w:kern w:val="2"/>
          <w:sz w:val="32"/>
          <w:szCs w:val="32"/>
          <w:lang w:val="en-US" w:eastAsia="zh-CN" w:bidi="ar-SA"/>
        </w:rPr>
      </w:pPr>
      <w:bookmarkStart w:id="3" w:name="_Toc3922"/>
      <w:r>
        <w:rPr>
          <w:rFonts w:hint="eastAsia" w:ascii="黑体" w:hAnsi="黑体" w:eastAsia="黑体" w:cs="黑体"/>
          <w:b/>
          <w:bCs/>
          <w:kern w:val="0"/>
          <w:sz w:val="32"/>
          <w:szCs w:val="32"/>
          <w:lang w:eastAsia="zh-CN"/>
        </w:rPr>
        <w:t>二、</w:t>
      </w:r>
      <w:r>
        <w:rPr>
          <w:rFonts w:ascii="黑体" w:hAnsi="黑体" w:eastAsia="黑体" w:cs="黑体"/>
          <w:b/>
          <w:bCs/>
          <w:kern w:val="0"/>
          <w:sz w:val="32"/>
          <w:szCs w:val="32"/>
        </w:rPr>
        <w:t>单位机构设置及决算单位构成情况</w:t>
      </w:r>
      <w:bookmarkEnd w:id="3"/>
    </w:p>
    <w:p w14:paraId="6B4DE8FD">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根据单位职责分工，本单位内设科室20个，包括办公室、人事科、质量控制科、财务科、传染病预防控制科、食品与环境卫生科等，无下属单位。</w:t>
      </w:r>
    </w:p>
    <w:p w14:paraId="197D83D4">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从决算单位构成看，纳入本单位2023年决算编制范围的预算单位共计1家，无下级预算单位。详细情况见表：</w:t>
      </w:r>
    </w:p>
    <w:tbl>
      <w:tblPr>
        <w:tblStyle w:val="19"/>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5"/>
        <w:gridCol w:w="5436"/>
        <w:gridCol w:w="3353"/>
      </w:tblGrid>
      <w:tr w14:paraId="54A271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1" w:hRule="atLeast"/>
        </w:trPr>
        <w:tc>
          <w:tcPr>
            <w:tcW w:w="585"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F2CA62">
            <w:pPr>
              <w:keepNext w:val="0"/>
              <w:keepLines w:val="0"/>
              <w:pageBreakBefore w:val="0"/>
              <w:widowControl/>
              <w:suppressLineNumbers w:val="0"/>
              <w:wordWrap/>
              <w:overflowPunct/>
              <w:topLinePunct w:val="0"/>
              <w:bidi w:val="0"/>
              <w:spacing w:beforeAutospacing="0" w:afterAutospacing="0" w:line="560" w:lineRule="atLeast"/>
              <w:ind w:left="0" w:leftChars="0" w:right="0"/>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序号</w:t>
            </w:r>
          </w:p>
        </w:tc>
        <w:tc>
          <w:tcPr>
            <w:tcW w:w="273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835A22">
            <w:pPr>
              <w:keepNext w:val="0"/>
              <w:keepLines w:val="0"/>
              <w:pageBreakBefore w:val="0"/>
              <w:widowControl/>
              <w:suppressLineNumbers w:val="0"/>
              <w:wordWrap/>
              <w:overflowPunct/>
              <w:topLinePunct w:val="0"/>
              <w:bidi w:val="0"/>
              <w:spacing w:beforeAutospacing="0" w:afterAutospacing="0" w:line="560" w:lineRule="atLeast"/>
              <w:ind w:left="0" w:leftChars="0" w:right="0"/>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单位名称</w:t>
            </w:r>
          </w:p>
        </w:tc>
        <w:tc>
          <w:tcPr>
            <w:tcW w:w="168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58D779">
            <w:pPr>
              <w:keepNext w:val="0"/>
              <w:keepLines w:val="0"/>
              <w:pageBreakBefore w:val="0"/>
              <w:widowControl/>
              <w:suppressLineNumbers w:val="0"/>
              <w:wordWrap/>
              <w:overflowPunct/>
              <w:topLinePunct w:val="0"/>
              <w:bidi w:val="0"/>
              <w:spacing w:beforeAutospacing="0" w:afterAutospacing="0" w:line="560" w:lineRule="atLeast"/>
              <w:ind w:left="0" w:leftChars="0" w:right="0"/>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单位性质</w:t>
            </w:r>
          </w:p>
        </w:tc>
      </w:tr>
      <w:tr w14:paraId="35B6ED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8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7685DE">
            <w:pPr>
              <w:keepNext w:val="0"/>
              <w:keepLines w:val="0"/>
              <w:pageBreakBefore w:val="0"/>
              <w:widowControl/>
              <w:suppressLineNumbers w:val="0"/>
              <w:wordWrap/>
              <w:overflowPunct/>
              <w:topLinePunct w:val="0"/>
              <w:bidi w:val="0"/>
              <w:spacing w:beforeAutospacing="0" w:afterAutospacing="0" w:line="560" w:lineRule="atLeast"/>
              <w:ind w:left="0" w:leftChars="0" w:right="0"/>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1</w:t>
            </w:r>
          </w:p>
        </w:tc>
        <w:tc>
          <w:tcPr>
            <w:tcW w:w="2730" w:type="pct"/>
            <w:tcBorders>
              <w:top w:val="nil"/>
              <w:left w:val="nil"/>
              <w:bottom w:val="single" w:color="auto" w:sz="8" w:space="0"/>
              <w:right w:val="single" w:color="auto" w:sz="8" w:space="0"/>
            </w:tcBorders>
            <w:shd w:val="clear" w:color="auto" w:fill="auto"/>
            <w:tcMar>
              <w:left w:w="108" w:type="dxa"/>
              <w:right w:w="108" w:type="dxa"/>
            </w:tcMar>
            <w:vAlign w:val="center"/>
          </w:tcPr>
          <w:p w14:paraId="6B527DAE">
            <w:pPr>
              <w:keepNext w:val="0"/>
              <w:keepLines w:val="0"/>
              <w:pageBreakBefore w:val="0"/>
              <w:widowControl/>
              <w:suppressLineNumbers w:val="0"/>
              <w:wordWrap/>
              <w:overflowPunct/>
              <w:topLinePunct w:val="0"/>
              <w:bidi w:val="0"/>
              <w:spacing w:beforeAutospacing="0" w:afterAutospacing="0" w:line="560" w:lineRule="atLeast"/>
              <w:ind w:left="0" w:leftChars="0" w:right="0"/>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鄂尔多斯市疾病预防控制中心</w:t>
            </w:r>
          </w:p>
        </w:tc>
        <w:tc>
          <w:tcPr>
            <w:tcW w:w="1684" w:type="pct"/>
            <w:tcBorders>
              <w:top w:val="nil"/>
              <w:left w:val="nil"/>
              <w:bottom w:val="single" w:color="auto" w:sz="8" w:space="0"/>
              <w:right w:val="single" w:color="auto" w:sz="8" w:space="0"/>
            </w:tcBorders>
            <w:shd w:val="clear" w:color="auto" w:fill="auto"/>
            <w:tcMar>
              <w:left w:w="108" w:type="dxa"/>
              <w:right w:w="108" w:type="dxa"/>
            </w:tcMar>
            <w:vAlign w:val="center"/>
          </w:tcPr>
          <w:p w14:paraId="2829A5BF">
            <w:pPr>
              <w:keepNext w:val="0"/>
              <w:keepLines w:val="0"/>
              <w:pageBreakBefore w:val="0"/>
              <w:widowControl/>
              <w:suppressLineNumbers w:val="0"/>
              <w:wordWrap/>
              <w:overflowPunct/>
              <w:topLinePunct w:val="0"/>
              <w:bidi w:val="0"/>
              <w:spacing w:beforeAutospacing="0" w:afterAutospacing="0" w:line="560" w:lineRule="atLeast"/>
              <w:ind w:left="0" w:leftChars="0" w:right="0"/>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公益一类事业单位</w:t>
            </w:r>
          </w:p>
        </w:tc>
      </w:tr>
    </w:tbl>
    <w:p w14:paraId="72B885F3">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3" w:firstLineChars="200"/>
        <w:jc w:val="left"/>
        <w:textAlignment w:val="auto"/>
        <w:outlineLvl w:val="1"/>
        <w:rPr>
          <w:rFonts w:ascii="黑体" w:hAnsi="黑体" w:eastAsia="黑体" w:cs="黑体"/>
          <w:b/>
          <w:bCs/>
          <w:kern w:val="0"/>
          <w:sz w:val="32"/>
          <w:szCs w:val="32"/>
        </w:rPr>
      </w:pPr>
      <w:bookmarkStart w:id="4" w:name="_Toc5173"/>
      <w:r>
        <w:rPr>
          <w:rFonts w:ascii="黑体" w:hAnsi="黑体" w:eastAsia="黑体" w:cs="黑体"/>
          <w:b/>
          <w:bCs/>
          <w:kern w:val="0"/>
          <w:sz w:val="32"/>
          <w:szCs w:val="32"/>
        </w:rPr>
        <w:t>三、2023年度单位主要工作完成情况</w:t>
      </w:r>
      <w:bookmarkEnd w:id="4"/>
      <w:bookmarkStart w:id="5" w:name="OLE_LINK1"/>
    </w:p>
    <w:p w14:paraId="445CCEA8">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全面加强党对疾控事业的领导。严格落实党建主体责任，加强政治建设，认真履职尽责，带头增强政治意识，强化党建责任，夯实管党基础。召开专题党建工作会议，布置党建、党风廉政、意识形态等工作。扎实开展主题教育学习，坚持“第一议题”学习制度。2023年中心组织集体学习26次，党支部集中学习60次，青年理论学习小组集中学习12次，构建“党委示范学、中心组集中学、党支部组织学、扩大会议全员学、青年理论学习小组主动学”的学习体系。严格落实“三会一课”、组织生活会、民主评议党员、谈心谈话等组织生活制度。各党支部召开党员大会13次，支委会37次，讲党课13次，开展主题党日活动70次。党组织书记抓基层党建工作述职评议会议1次，党内民主得到有效实践。持续加强党员发展工作，2023年10名干部递交入党申请书，发展积极分子10名、发展对象4名、预备党员7名，转正党员9名。使用党费云缴费系统收缴党费，开展庆祝建党102周年系列活动；二是对标先进推动疾控事业高质量发展。在做好常规工作的同时，我中心制定《鄂尔多斯市疾病预防控制中心对标先进方案》，创新性开展下列工作：1.推进疾病预防控制体系改革。对标先进，积极探索疾控机构“公益一类保障、二类管理”，重新启动门诊部，探索多方位服务。2.推进新建实验楼项目工程，中心1.26万平米实验楼项目建设已进入预验收准备阶段。3.推进与高校的战略合作及人才引进工作探索。与内蒙古医科大学和内蒙古科技大学从紧密型校地合作、人才培养、学科建设、成果转化等方面达成共识。4.推进“智慧疾控”项目建设。已完成“智慧疾控”一期项目建设，正在推进“智慧疾控”二期项目。5.推动旗区疾控中心等级评审工作。现场指导各旗区疾控中心开展标准化建设和等级评审工作，对相关材料进行初审并向自治区提交各旗区疾控中心的标准化建设和等级评审自评报告。6.科研项目申报取得突破性进展。2023年共申报市级科研项目10项，其中2项获批市级重点研发计划项目，立项内蒙古预防医学会科研项目1项，申报鄂尔多斯市社科联项目10项，立项8项。7.打造线上线下宣传矩阵。充分利用新媒体、官方网站、电台、电视、电梯楼宇宣传屏等宣传载体，加大宣传疾病防控政策方针、科普知识。向向市卫健委报送工作信息429篇，公众号发布各类信息1680余条，阅读次数33万余次，粉丝关注量由2.2万人增加至3.8万人，被国家健康平台采纳8条、市级以上媒体采用稿件300余次。8.强化上级疾控机构对下级的业务领导和工作协同，首次建立对旗区疾控中心考核评估机制，半年、全年对业务工作完成情况各通报1次；每季度组织召开1次全市疾控工作座谈会，互相学习交流，探讨解决存在问题，共同努力促进疾控事业更上新台阶；三是各项业务工作上了新台阶。首先，重大传染病防控工作取得新成效。新型冠状病毒感染实施“乙类乙管”后，我中心承担新冠病毒新型变异株监测、城市污水监测及分析研判等工作。累计开展人群新冠病毒基因组测序样本477份、城市污水中新冠病毒监测样本327份、检测哨点医院送检新冠样本1893份、检测新冠抗体样本2320份；新冠病毒核酸愿检尽检样品共计33648管，其中环境样品673管，人数合计13342人，检出阳性1255管。出具我市居民新冠病毒感染情况的分析报告19篇，报告中就病毒变异株监测、核酸检测情况、新冠患者住院情况、新冠感染网络直报情况、城市污水监测情况等内容进行分析；出具新型变异株风险评估报告8篇，结合感染病例基本情况、流调和采样情况以及全国和全球形势进行评估，提出了有针对性的防控措施，避免了新冠病毒变异株的大范围传播扩散；其次，免疫规划工作取得新突破。我市79个乡镇（街道）、苏木,儿童扩大免疫规划疫苗接种率全部达到国家要求的90%以上，全市累计报告疑似麻疹140例，排除麻疹风疹131例，排除麻疹报告发病率为6.08/10万。各项监测指标均达到100%，超额完成国家、自治区任务指标；四是全面提升了公共卫生服务水平。职业卫生工作方面：完成重点人群职业健康素养监测与干预、噪声作业者主动监测、职业健康检查机构和诊断机构质量考核工作，完成工作场所职业病危害因素监测质量考核工作。解答职业病诊断咨询1535余次，职业健康体检1757人次,审核内蒙古自治区职业健康管理信息系统网报个案153608张，审核企业汇总卡216张。国家职业病及健康危害因素监测系统中：网报疑似职业病177人次、职业病212人次；审核职业病鉴定管理个案卡39人次，审核职业病217人次、疑似职业病356人次、职业病病例随访死亡比对2413余人。职业病诊断：职业性布鲁氏菌病确诊21人，尘肺病确诊99人，职业性噪声聋确诊26人；工作场所职业病危害因素监测：网报审核监测企业338家。放射防护工作方面：完成对9家监测项目医院放射工作人员职业健康管理情况的调查；完成鄂尔多斯市中心医院从事介入放射学诊疗的36名工作人员的双剂量计监测；完成鄂尔多斯市第二人民医院5名从事介入放射学诊疗的工作人员的眼晶状体剂量监测；完成430名放射工作人员的职业健康检查。选取康巴什区、东胜区、达拉特旗开展放射诊疗的医疗机构（不含牙科诊所）开展基本情况问卷调查，均完成调查已上报国家信息化平台；完成对9家医疗机构的放射诊疗设备及场所放射防护监测。对辖区内9个旗区所有非医疗机构放射工作单位基本情况调查，均完成调查已上报国家信息化平台；完成对1家行包检测仪、1家工业探伤、2家核仪表、1家密封源测井的现场放射性危害因素检测。选定达拉特旗铀矿周围的农户，完成蔬菜采集及预处理，粮食、蓄肉类样品采集工作。食品与环境卫生工作方面：全市食源性疾病监测哨点医院153家，共上报食源性疾病病例数4246例、食源性疾病暴发监测2起、食源性疾病主动监测235份；生活饮用水全年共采集样品728份，完成全年任务的125.3%；公共场所健康危害因素监测项目两轮监测均已完成，完成率为100%（100家场所应监测/100家场所实监测）。消毒监测与病媒生物监测工作方面：全市各监测点均按方案要求完成相应病媒生物监测月任务，年度任务按监测月逐步推进，蚊、蝇、鼠、蟑、蜱年度任务完成率均为100%；完成20家重点场所消毒调查工作，并对20家重点场所开展2次消毒监测工作。全市病媒病原学两个监测点（东胜区和鄂托克旗）共监测捕鼠232只，采集脏器样本434管，完成蚊传病原学监测年度任务；开展医疗机构消毒效果监测、卫生杀虫剂使用调查工作。检验工作方面：食品安全风险检测—微生物及其致病因子样品190份，录入数据878条。检出阳性菌株64株，检出率24%；化学污染物完成常规监测400份；国家致病菌识别网细菌性传染病监测，药敏试验61份，全基因组测序64份；配合其他外勤科室完成约3万份样品的检测工作，完成国家、自治区各级各类质控考核24项；完成旗区9起突发公共卫生事件检测任务，对全区十五运、第六届残运会及沙漠论坛会议保障水质检测样品合计55份。五是有力推动“智慧疾控”项目建设工作。优化中心微信小程序门诊服务功能，添加在线挂号、缴费等功能；优化体检系统和LIS\PACS系统，调整项目并提高效率；完成HIS系统上线，医护工作站、药房培训工作，设置门诊诊疗项目、收费项目；完成“智慧疾控”一期项目招标采购、系统开发、上线培训工作；部署完成全市疾控视频会议系统；完成鼠疫预警平台的招标采购、系统开发、上线培训工作；完成“智慧疾控”二期项目建议书及可行性研究报告的编制审核工作，计划2024年送市发改委立项。</w:t>
      </w:r>
    </w:p>
    <w:p w14:paraId="21E8C1C8">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1760" w:firstLineChars="400"/>
        <w:jc w:val="both"/>
        <w:textAlignment w:val="auto"/>
        <w:outlineLvl w:val="0"/>
        <w:rPr>
          <w:rFonts w:hint="eastAsia" w:ascii="方正小标宋简体" w:hAnsi="方正小标宋简体" w:eastAsia="方正小标宋简体" w:cs="方正小标宋简体"/>
          <w:b w:val="0"/>
          <w:bCs w:val="0"/>
          <w:kern w:val="0"/>
          <w:sz w:val="44"/>
          <w:szCs w:val="44"/>
          <w:lang w:val="en-US" w:eastAsia="zh-CN" w:bidi="ar-SA"/>
        </w:rPr>
      </w:pPr>
      <w:bookmarkStart w:id="6" w:name="_Toc1254"/>
      <w:r>
        <w:rPr>
          <w:rFonts w:hint="eastAsia" w:ascii="方正小标宋简体" w:hAnsi="方正小标宋简体" w:eastAsia="方正小标宋简体" w:cs="方正小标宋简体"/>
          <w:b w:val="0"/>
          <w:bCs w:val="0"/>
          <w:kern w:val="0"/>
          <w:sz w:val="44"/>
          <w:szCs w:val="44"/>
          <w:lang w:val="en-US" w:eastAsia="zh-CN" w:bidi="ar-SA"/>
        </w:rPr>
        <w:t>第二部分  单位决算情况说明</w:t>
      </w:r>
      <w:bookmarkEnd w:id="6"/>
    </w:p>
    <w:p w14:paraId="4FCC473D">
      <w:pPr>
        <w:keepNext w:val="0"/>
        <w:keepLines w:val="0"/>
        <w:pageBreakBefore w:val="0"/>
        <w:widowControl/>
        <w:kinsoku/>
        <w:wordWrap/>
        <w:overflowPunct/>
        <w:topLinePunct w:val="0"/>
        <w:autoSpaceDE/>
        <w:autoSpaceDN/>
        <w:bidi w:val="0"/>
        <w:spacing w:line="560" w:lineRule="atLeast"/>
        <w:ind w:left="0" w:leftChars="0" w:firstLine="640" w:firstLineChars="200"/>
        <w:jc w:val="left"/>
        <w:textAlignment w:val="auto"/>
        <w:outlineLvl w:val="1"/>
        <w:rPr>
          <w:rFonts w:ascii="黑体" w:hAnsi="黑体" w:eastAsia="黑体" w:cs="黑体"/>
          <w:b w:val="0"/>
          <w:bCs w:val="0"/>
          <w:kern w:val="0"/>
          <w:sz w:val="32"/>
          <w:szCs w:val="32"/>
        </w:rPr>
      </w:pPr>
      <w:bookmarkStart w:id="7" w:name="_Toc31473"/>
      <w:r>
        <w:rPr>
          <w:rFonts w:hint="eastAsia" w:ascii="黑体" w:hAnsi="黑体" w:eastAsia="黑体" w:cs="黑体"/>
          <w:b w:val="0"/>
          <w:bCs w:val="0"/>
          <w:kern w:val="0"/>
          <w:sz w:val="32"/>
          <w:szCs w:val="32"/>
          <w:lang w:eastAsia="zh-CN"/>
        </w:rPr>
        <w:t>一、</w:t>
      </w:r>
      <w:r>
        <w:rPr>
          <w:rFonts w:ascii="黑体" w:hAnsi="黑体" w:eastAsia="黑体" w:cs="黑体"/>
          <w:b w:val="0"/>
          <w:bCs w:val="0"/>
          <w:kern w:val="0"/>
          <w:sz w:val="32"/>
          <w:szCs w:val="32"/>
        </w:rPr>
        <w:t>收入支出决算总体情况说明</w:t>
      </w:r>
      <w:bookmarkEnd w:id="7"/>
    </w:p>
    <w:p w14:paraId="4F4521B5">
      <w:pPr>
        <w:keepNext w:val="0"/>
        <w:keepLines w:val="0"/>
        <w:pageBreakBefore w:val="0"/>
        <w:widowControl/>
        <w:wordWrap/>
        <w:overflowPunct/>
        <w:topLinePunct w:val="0"/>
        <w:bidi w:val="0"/>
        <w:spacing w:line="560" w:lineRule="atLeast"/>
        <w:ind w:left="0" w:leftChars="0" w:firstLine="640" w:firstLineChars="200"/>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u w:val="none"/>
        </w:rPr>
        <w:t>内蒙古自治区鄂尔多斯市疾病预防控制</w:t>
      </w:r>
      <w:r>
        <w:rPr>
          <w:rFonts w:hint="eastAsia" w:ascii="仿宋_GB2312" w:hAnsi="仿宋_GB2312" w:eastAsia="仿宋_GB2312" w:cs="仿宋_GB2312"/>
          <w:kern w:val="0"/>
          <w:sz w:val="32"/>
          <w:szCs w:val="32"/>
          <w:u w:val="none"/>
          <w:lang w:eastAsia="zh-CN"/>
        </w:rPr>
        <w:t>中心</w:t>
      </w:r>
      <w:r>
        <w:rPr>
          <w:rFonts w:hint="eastAsia" w:ascii="仿宋_GB2312" w:hAnsi="仿宋_GB2312" w:eastAsia="仿宋_GB2312" w:cs="仿宋_GB2312"/>
          <w:kern w:val="0"/>
          <w:sz w:val="32"/>
          <w:szCs w:val="32"/>
          <w:u w:val="none"/>
          <w:lang w:val="en-US" w:eastAsia="zh-CN"/>
        </w:rPr>
        <w:t>2023年</w:t>
      </w:r>
      <w:r>
        <w:rPr>
          <w:rFonts w:hint="eastAsia" w:ascii="仿宋_GB2312" w:hAnsi="仿宋_GB2312" w:eastAsia="仿宋_GB2312" w:cs="仿宋_GB2312"/>
          <w:kern w:val="0"/>
          <w:sz w:val="32"/>
          <w:szCs w:val="32"/>
          <w:u w:val="none"/>
        </w:rPr>
        <w:t>度收入、支出决算总</w:t>
      </w:r>
      <w:r>
        <w:rPr>
          <w:rFonts w:hint="eastAsia" w:ascii="仿宋_GB2312" w:hAnsi="仿宋_GB2312" w:eastAsia="仿宋_GB2312" w:cs="仿宋_GB2312"/>
          <w:kern w:val="0"/>
          <w:sz w:val="32"/>
          <w:szCs w:val="32"/>
          <w:highlight w:val="none"/>
          <w:u w:val="none"/>
        </w:rPr>
        <w:t>计9,879.44</w:t>
      </w:r>
      <w:r>
        <w:rPr>
          <w:rFonts w:hint="eastAsia" w:ascii="仿宋_GB2312" w:hAnsi="仿宋_GB2312" w:eastAsia="仿宋_GB2312" w:cs="仿宋_GB2312"/>
          <w:kern w:val="0"/>
          <w:sz w:val="32"/>
          <w:szCs w:val="32"/>
          <w:u w:val="none"/>
        </w:rPr>
        <w:t>万元。与年初预算相比，收、支总计各增加 3,858.13万元，增长64.07%，变动</w:t>
      </w:r>
      <w:r>
        <w:rPr>
          <w:rFonts w:hint="eastAsia" w:ascii="仿宋_GB2312" w:hAnsi="仿宋_GB2312" w:eastAsia="仿宋_GB2312" w:cs="仿宋_GB2312"/>
          <w:kern w:val="0"/>
          <w:sz w:val="32"/>
          <w:szCs w:val="32"/>
          <w:u w:val="none"/>
          <w:lang w:eastAsia="zh-CN"/>
        </w:rPr>
        <w:t>主要</w:t>
      </w:r>
      <w:r>
        <w:rPr>
          <w:rFonts w:hint="eastAsia" w:ascii="仿宋_GB2312" w:hAnsi="仿宋_GB2312" w:eastAsia="仿宋_GB2312" w:cs="仿宋_GB2312"/>
          <w:kern w:val="0"/>
          <w:sz w:val="32"/>
          <w:szCs w:val="32"/>
          <w:u w:val="none"/>
        </w:rPr>
        <w:t>原因：</w:t>
      </w:r>
      <w:bookmarkStart w:id="8" w:name="OLE_LINK40"/>
      <w:r>
        <w:rPr>
          <w:rFonts w:hint="eastAsia" w:ascii="仿宋_GB2312" w:hAnsi="仿宋_GB2312" w:eastAsia="仿宋_GB2312" w:cs="仿宋_GB2312"/>
          <w:kern w:val="0"/>
          <w:sz w:val="32"/>
          <w:szCs w:val="32"/>
          <w:u w:val="none"/>
          <w:lang w:eastAsia="zh-CN"/>
        </w:rPr>
        <w:t>一是因</w:t>
      </w:r>
      <w:r>
        <w:rPr>
          <w:rFonts w:ascii="FangSong_GB2312" w:hAnsi="FangSong_GB2312" w:eastAsia="FangSong_GB2312" w:cs="FangSong_GB2312"/>
          <w:spacing w:val="6"/>
          <w:sz w:val="31"/>
          <w:szCs w:val="31"/>
        </w:rPr>
        <w:t>工资自然增长、社保</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z w:val="31"/>
          <w:szCs w:val="31"/>
        </w:rPr>
        <w:t>公积金缴费基数增长、单位新增人员、退休人员去世等原因，</w:t>
      </w:r>
      <w:bookmarkEnd w:id="8"/>
      <w:r>
        <w:rPr>
          <w:rFonts w:ascii="FangSong_GB2312" w:hAnsi="FangSong_GB2312" w:eastAsia="FangSong_GB2312" w:cs="FangSong_GB2312"/>
          <w:spacing w:val="15"/>
          <w:sz w:val="31"/>
          <w:szCs w:val="31"/>
        </w:rPr>
        <w:t>追加基本支出人员经费</w:t>
      </w:r>
      <w:r>
        <w:rPr>
          <w:rFonts w:ascii="FangSong_GB2312" w:hAnsi="FangSong_GB2312" w:eastAsia="FangSong_GB2312" w:cs="FangSong_GB2312"/>
          <w:sz w:val="31"/>
          <w:szCs w:val="31"/>
        </w:rPr>
        <w:t xml:space="preserve"> </w:t>
      </w:r>
      <w:r>
        <w:rPr>
          <w:rFonts w:hint="eastAsia" w:ascii="FangSong_GB2312" w:hAnsi="FangSong_GB2312" w:eastAsia="FangSong_GB2312" w:cs="FangSong_GB2312"/>
          <w:spacing w:val="6"/>
          <w:sz w:val="31"/>
          <w:szCs w:val="31"/>
          <w:lang w:val="en-US" w:eastAsia="zh-CN"/>
        </w:rPr>
        <w:t>278.93</w:t>
      </w:r>
      <w:r>
        <w:rPr>
          <w:rFonts w:ascii="FangSong_GB2312" w:hAnsi="FangSong_GB2312" w:eastAsia="FangSong_GB2312" w:cs="FangSong_GB2312"/>
          <w:spacing w:val="-38"/>
          <w:sz w:val="31"/>
          <w:szCs w:val="31"/>
        </w:rPr>
        <w:t xml:space="preserve"> </w:t>
      </w:r>
      <w:r>
        <w:rPr>
          <w:rFonts w:ascii="FangSong_GB2312" w:hAnsi="FangSong_GB2312" w:eastAsia="FangSong_GB2312" w:cs="FangSong_GB2312"/>
          <w:spacing w:val="6"/>
          <w:sz w:val="31"/>
          <w:szCs w:val="31"/>
        </w:rPr>
        <w:t>万元；</w:t>
      </w:r>
      <w:r>
        <w:rPr>
          <w:rFonts w:hint="eastAsia" w:ascii="FangSong_GB2312" w:hAnsi="FangSong_GB2312" w:eastAsia="FangSong_GB2312" w:cs="FangSong_GB2312"/>
          <w:spacing w:val="6"/>
          <w:sz w:val="31"/>
          <w:szCs w:val="31"/>
          <w:lang w:eastAsia="zh-CN"/>
        </w:rPr>
        <w:t>二</w:t>
      </w:r>
      <w:r>
        <w:rPr>
          <w:rFonts w:hint="eastAsia" w:ascii="仿宋_GB2312" w:hAnsi="仿宋_GB2312" w:eastAsia="仿宋_GB2312" w:cs="仿宋_GB2312"/>
          <w:kern w:val="0"/>
          <w:sz w:val="32"/>
          <w:szCs w:val="32"/>
          <w:u w:val="none"/>
          <w:lang w:eastAsia="zh-CN"/>
        </w:rPr>
        <w:t>是</w:t>
      </w:r>
      <w:r>
        <w:rPr>
          <w:rFonts w:ascii="FangSong_GB2312" w:hAnsi="FangSong_GB2312" w:eastAsia="FangSong_GB2312" w:cs="FangSong_GB2312"/>
          <w:spacing w:val="6"/>
          <w:sz w:val="31"/>
          <w:szCs w:val="31"/>
        </w:rPr>
        <w:t>因工作任务增加，依据</w:t>
      </w:r>
      <w:bookmarkStart w:id="9" w:name="OLE_LINK34"/>
      <w:bookmarkStart w:id="10" w:name="OLE_LINK35"/>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140号</w:t>
      </w:r>
      <w:bookmarkEnd w:id="9"/>
      <w:r>
        <w:rPr>
          <w:rFonts w:ascii="FangSong_GB2312" w:hAnsi="FangSong_GB2312" w:eastAsia="FangSong_GB2312" w:cs="FangSong_GB2312"/>
          <w:spacing w:val="9"/>
          <w:sz w:val="31"/>
          <w:szCs w:val="31"/>
        </w:rPr>
        <w:t>追加“</w:t>
      </w:r>
      <w:r>
        <w:rPr>
          <w:rFonts w:hint="eastAsia" w:ascii="FangSong_GB2312" w:hAnsi="FangSong_GB2312" w:eastAsia="FangSong_GB2312" w:cs="FangSong_GB2312"/>
          <w:spacing w:val="9"/>
          <w:sz w:val="31"/>
          <w:szCs w:val="31"/>
          <w:lang w:val="en-US" w:eastAsia="zh-CN"/>
        </w:rPr>
        <w:t>2023年中央基本公共卫生服务补助资金</w:t>
      </w:r>
      <w:r>
        <w:rPr>
          <w:rFonts w:ascii="FangSong_GB2312" w:hAnsi="FangSong_GB2312" w:eastAsia="FangSong_GB2312" w:cs="FangSong_GB2312"/>
          <w:spacing w:val="9"/>
          <w:sz w:val="31"/>
          <w:szCs w:val="31"/>
        </w:rPr>
        <w:t>”项目预</w:t>
      </w:r>
      <w:r>
        <w:rPr>
          <w:rFonts w:ascii="FangSong_GB2312" w:hAnsi="FangSong_GB2312" w:eastAsia="FangSong_GB2312" w:cs="FangSong_GB2312"/>
          <w:spacing w:val="3"/>
          <w:sz w:val="31"/>
          <w:szCs w:val="31"/>
        </w:rPr>
        <w:t>算</w:t>
      </w:r>
      <w:r>
        <w:rPr>
          <w:rFonts w:ascii="FangSong_GB2312" w:hAnsi="FangSong_GB2312" w:eastAsia="FangSong_GB2312" w:cs="FangSong_GB2312"/>
          <w:spacing w:val="-44"/>
          <w:sz w:val="31"/>
          <w:szCs w:val="31"/>
        </w:rPr>
        <w:t xml:space="preserve"> </w:t>
      </w:r>
      <w:r>
        <w:rPr>
          <w:rFonts w:hint="eastAsia" w:ascii="FangSong_GB2312" w:hAnsi="FangSong_GB2312" w:eastAsia="FangSong_GB2312" w:cs="FangSong_GB2312"/>
          <w:spacing w:val="3"/>
          <w:sz w:val="31"/>
          <w:szCs w:val="31"/>
          <w:lang w:val="en-US" w:eastAsia="zh-CN"/>
        </w:rPr>
        <w:t>83</w:t>
      </w:r>
      <w:r>
        <w:rPr>
          <w:rFonts w:ascii="FangSong_GB2312" w:hAnsi="FangSong_GB2312" w:eastAsia="FangSong_GB2312" w:cs="FangSong_GB2312"/>
          <w:spacing w:val="3"/>
          <w:sz w:val="31"/>
          <w:szCs w:val="31"/>
        </w:rPr>
        <w:t>万元，依据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1</w:t>
      </w:r>
      <w:r>
        <w:rPr>
          <w:rFonts w:hint="eastAsia" w:ascii="宋体" w:hAnsi="宋体" w:cs="宋体"/>
          <w:spacing w:val="6"/>
          <w:sz w:val="31"/>
          <w:szCs w:val="31"/>
          <w:lang w:val="en-US" w:eastAsia="zh-CN"/>
        </w:rPr>
        <w:t>66</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rPr>
        <w:t>“</w:t>
      </w:r>
      <w:r>
        <w:rPr>
          <w:rFonts w:hint="eastAsia" w:ascii="FangSong_GB2312" w:hAnsi="FangSong_GB2312" w:eastAsia="FangSong_GB2312" w:cs="FangSong_GB2312"/>
          <w:spacing w:val="7"/>
          <w:sz w:val="31"/>
          <w:szCs w:val="31"/>
          <w:lang w:val="en-US" w:eastAsia="zh-CN"/>
        </w:rPr>
        <w:t>2023年中央重大传染病防控补助资金</w:t>
      </w:r>
      <w:r>
        <w:rPr>
          <w:rFonts w:ascii="FangSong_GB2312" w:hAnsi="FangSong_GB2312" w:eastAsia="FangSong_GB2312" w:cs="FangSong_GB2312"/>
          <w:spacing w:val="7"/>
          <w:sz w:val="31"/>
          <w:szCs w:val="31"/>
        </w:rPr>
        <w:t xml:space="preserve">”项目预算 </w:t>
      </w:r>
      <w:r>
        <w:rPr>
          <w:rFonts w:hint="eastAsia" w:ascii="FangSong_GB2312" w:hAnsi="FangSong_GB2312" w:eastAsia="FangSong_GB2312" w:cs="FangSong_GB2312"/>
          <w:spacing w:val="7"/>
          <w:sz w:val="31"/>
          <w:szCs w:val="31"/>
          <w:lang w:val="en-US" w:eastAsia="zh-CN"/>
        </w:rPr>
        <w:t>407.43</w:t>
      </w:r>
      <w:r>
        <w:rPr>
          <w:rFonts w:ascii="FangSong_GB2312" w:hAnsi="FangSong_GB2312" w:eastAsia="FangSong_GB2312" w:cs="FangSong_GB2312"/>
          <w:spacing w:val="7"/>
          <w:sz w:val="31"/>
          <w:szCs w:val="31"/>
        </w:rPr>
        <w:t>万元</w:t>
      </w:r>
      <w:bookmarkEnd w:id="10"/>
      <w:r>
        <w:rPr>
          <w:rFonts w:hint="eastAsia" w:ascii="FangSong_GB2312" w:hAnsi="FangSong_GB2312" w:eastAsia="FangSong_GB2312" w:cs="FangSong_GB2312"/>
          <w:spacing w:val="7"/>
          <w:sz w:val="31"/>
          <w:szCs w:val="31"/>
          <w:lang w:eastAsia="zh-CN"/>
        </w:rPr>
        <w:t>，</w:t>
      </w:r>
      <w:r>
        <w:rPr>
          <w:rFonts w:hint="eastAsia" w:ascii="FangSong_GB2312" w:hAnsi="FangSong_GB2312" w:eastAsia="FangSong_GB2312" w:cs="FangSong_GB2312"/>
          <w:spacing w:val="5"/>
          <w:sz w:val="31"/>
          <w:szCs w:val="31"/>
          <w:lang w:eastAsia="zh-CN"/>
        </w:rPr>
        <w:t>依据</w:t>
      </w:r>
      <w:r>
        <w:rPr>
          <w:rFonts w:hint="eastAsia" w:ascii="FangSong_GB2312" w:hAnsi="FangSong_GB2312" w:eastAsia="FangSong_GB2312" w:cs="FangSong_GB2312"/>
          <w:spacing w:val="6"/>
          <w:sz w:val="31"/>
          <w:szCs w:val="31"/>
          <w:lang w:eastAsia="zh-CN"/>
        </w:rPr>
        <w:t>鄂财科指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350</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9"/>
          <w:sz w:val="31"/>
          <w:szCs w:val="31"/>
        </w:rPr>
        <w:t>追加“</w:t>
      </w:r>
      <w:r>
        <w:rPr>
          <w:rFonts w:hint="eastAsia" w:ascii="FangSong_GB2312" w:hAnsi="FangSong_GB2312" w:eastAsia="FangSong_GB2312" w:cs="FangSong_GB2312"/>
          <w:spacing w:val="9"/>
          <w:sz w:val="31"/>
          <w:szCs w:val="31"/>
          <w:lang w:val="en-US" w:eastAsia="zh-CN"/>
        </w:rPr>
        <w:t>2023年市本级重点研发计划专项资金</w:t>
      </w:r>
      <w:r>
        <w:rPr>
          <w:rFonts w:ascii="FangSong_GB2312" w:hAnsi="FangSong_GB2312" w:eastAsia="FangSong_GB2312" w:cs="FangSong_GB2312"/>
          <w:spacing w:val="9"/>
          <w:sz w:val="31"/>
          <w:szCs w:val="31"/>
        </w:rPr>
        <w:t>”项目预</w:t>
      </w:r>
      <w:r>
        <w:rPr>
          <w:rFonts w:ascii="FangSong_GB2312" w:hAnsi="FangSong_GB2312" w:eastAsia="FangSong_GB2312" w:cs="FangSong_GB2312"/>
          <w:spacing w:val="3"/>
          <w:sz w:val="31"/>
          <w:szCs w:val="31"/>
        </w:rPr>
        <w:t>算</w:t>
      </w:r>
      <w:r>
        <w:rPr>
          <w:rFonts w:ascii="FangSong_GB2312" w:hAnsi="FangSong_GB2312" w:eastAsia="FangSong_GB2312" w:cs="FangSong_GB2312"/>
          <w:spacing w:val="-44"/>
          <w:sz w:val="31"/>
          <w:szCs w:val="31"/>
        </w:rPr>
        <w:t xml:space="preserve"> </w:t>
      </w:r>
      <w:r>
        <w:rPr>
          <w:rFonts w:hint="eastAsia" w:ascii="FangSong_GB2312" w:hAnsi="FangSong_GB2312" w:eastAsia="FangSong_GB2312" w:cs="FangSong_GB2312"/>
          <w:spacing w:val="3"/>
          <w:sz w:val="31"/>
          <w:szCs w:val="31"/>
          <w:lang w:val="en-US" w:eastAsia="zh-CN"/>
        </w:rPr>
        <w:t>106.69</w:t>
      </w:r>
      <w:r>
        <w:rPr>
          <w:rFonts w:ascii="FangSong_GB2312" w:hAnsi="FangSong_GB2312" w:eastAsia="FangSong_GB2312" w:cs="FangSong_GB2312"/>
          <w:spacing w:val="3"/>
          <w:sz w:val="31"/>
          <w:szCs w:val="31"/>
        </w:rPr>
        <w:t>万元，</w:t>
      </w:r>
      <w:bookmarkStart w:id="11" w:name="OLE_LINK36"/>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315</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rPr>
        <w:t>“</w:t>
      </w:r>
      <w:bookmarkStart w:id="12" w:name="OLE_LINK38"/>
      <w:r>
        <w:rPr>
          <w:rFonts w:hint="eastAsia" w:ascii="FangSong_GB2312" w:hAnsi="FangSong_GB2312" w:eastAsia="FangSong_GB2312" w:cs="FangSong_GB2312"/>
          <w:spacing w:val="7"/>
          <w:sz w:val="31"/>
          <w:szCs w:val="31"/>
          <w:lang w:val="en-US" w:eastAsia="zh-CN"/>
        </w:rPr>
        <w:t>2022年中央重大传染病防控经费（第二批）</w:t>
      </w:r>
      <w:bookmarkEnd w:id="12"/>
      <w:r>
        <w:rPr>
          <w:rFonts w:ascii="FangSong_GB2312" w:hAnsi="FangSong_GB2312" w:eastAsia="FangSong_GB2312" w:cs="FangSong_GB2312"/>
          <w:spacing w:val="7"/>
          <w:sz w:val="31"/>
          <w:szCs w:val="31"/>
        </w:rPr>
        <w:t>”项目预算</w:t>
      </w:r>
      <w:r>
        <w:rPr>
          <w:rFonts w:hint="eastAsia" w:ascii="FangSong_GB2312" w:hAnsi="FangSong_GB2312" w:eastAsia="FangSong_GB2312" w:cs="FangSong_GB2312"/>
          <w:spacing w:val="7"/>
          <w:sz w:val="31"/>
          <w:szCs w:val="31"/>
          <w:lang w:val="en-US" w:eastAsia="zh-CN"/>
        </w:rPr>
        <w:t>231.3</w:t>
      </w:r>
      <w:r>
        <w:rPr>
          <w:rFonts w:ascii="FangSong_GB2312" w:hAnsi="FangSong_GB2312" w:eastAsia="FangSong_GB2312" w:cs="FangSong_GB2312"/>
          <w:spacing w:val="7"/>
          <w:sz w:val="31"/>
          <w:szCs w:val="31"/>
        </w:rPr>
        <w:t>万元</w:t>
      </w:r>
      <w:bookmarkEnd w:id="11"/>
      <w:r>
        <w:rPr>
          <w:rFonts w:ascii="FangSong_GB2312" w:hAnsi="FangSong_GB2312" w:eastAsia="FangSong_GB2312" w:cs="FangSong_GB2312"/>
          <w:spacing w:val="7"/>
          <w:sz w:val="31"/>
          <w:szCs w:val="31"/>
        </w:rPr>
        <w:t>，</w:t>
      </w:r>
      <w:bookmarkStart w:id="13" w:name="OLE_LINK39"/>
      <w:bookmarkStart w:id="14" w:name="OLE_LINK37"/>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585</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highlight w:val="none"/>
        </w:rPr>
        <w:t>“</w:t>
      </w:r>
      <w:r>
        <w:rPr>
          <w:rFonts w:hint="eastAsia" w:ascii="FangSong_GB2312" w:hAnsi="FangSong_GB2312" w:eastAsia="FangSong_GB2312" w:cs="FangSong_GB2312"/>
          <w:spacing w:val="7"/>
          <w:sz w:val="31"/>
          <w:szCs w:val="31"/>
          <w:highlight w:val="none"/>
          <w:lang w:val="en-US" w:eastAsia="zh-CN"/>
        </w:rPr>
        <w:t>2023年中央基本公共卫生服务补助资金（第二批）</w:t>
      </w:r>
      <w:r>
        <w:rPr>
          <w:rFonts w:ascii="FangSong_GB2312" w:hAnsi="FangSong_GB2312" w:eastAsia="FangSong_GB2312" w:cs="FangSong_GB2312"/>
          <w:spacing w:val="7"/>
          <w:sz w:val="31"/>
          <w:szCs w:val="31"/>
          <w:highlight w:val="none"/>
        </w:rPr>
        <w:t>”项目预算</w:t>
      </w:r>
      <w:r>
        <w:rPr>
          <w:rFonts w:hint="eastAsia" w:ascii="FangSong_GB2312" w:hAnsi="FangSong_GB2312" w:eastAsia="FangSong_GB2312" w:cs="FangSong_GB2312"/>
          <w:spacing w:val="7"/>
          <w:sz w:val="31"/>
          <w:szCs w:val="31"/>
          <w:highlight w:val="none"/>
          <w:lang w:val="en-US" w:eastAsia="zh-CN"/>
        </w:rPr>
        <w:t>36</w:t>
      </w:r>
      <w:r>
        <w:rPr>
          <w:rFonts w:ascii="FangSong_GB2312" w:hAnsi="FangSong_GB2312" w:eastAsia="FangSong_GB2312" w:cs="FangSong_GB2312"/>
          <w:spacing w:val="7"/>
          <w:sz w:val="31"/>
          <w:szCs w:val="31"/>
          <w:highlight w:val="none"/>
        </w:rPr>
        <w:t>万元</w:t>
      </w:r>
      <w:bookmarkEnd w:id="13"/>
      <w:r>
        <w:rPr>
          <w:rFonts w:hint="eastAsia" w:ascii="FangSong_GB2312" w:hAnsi="FangSong_GB2312" w:eastAsia="FangSong_GB2312" w:cs="FangSong_GB2312"/>
          <w:spacing w:val="7"/>
          <w:sz w:val="31"/>
          <w:szCs w:val="31"/>
          <w:highlight w:val="none"/>
          <w:lang w:eastAsia="zh-CN"/>
        </w:rPr>
        <w:t>，</w:t>
      </w:r>
      <w:bookmarkEnd w:id="14"/>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699</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highlight w:val="none"/>
        </w:rPr>
        <w:t>“</w:t>
      </w:r>
      <w:r>
        <w:rPr>
          <w:rFonts w:hint="eastAsia" w:ascii="FangSong_GB2312" w:hAnsi="FangSong_GB2312" w:eastAsia="FangSong_GB2312" w:cs="FangSong_GB2312"/>
          <w:spacing w:val="7"/>
          <w:sz w:val="31"/>
          <w:szCs w:val="31"/>
          <w:lang w:val="en-US" w:eastAsia="zh-CN"/>
        </w:rPr>
        <w:t>2023年中央重大传染病防控补助资金（第二批）</w:t>
      </w:r>
      <w:r>
        <w:rPr>
          <w:rFonts w:ascii="FangSong_GB2312" w:hAnsi="FangSong_GB2312" w:eastAsia="FangSong_GB2312" w:cs="FangSong_GB2312"/>
          <w:spacing w:val="7"/>
          <w:sz w:val="31"/>
          <w:szCs w:val="31"/>
          <w:highlight w:val="none"/>
        </w:rPr>
        <w:t>”项目预算</w:t>
      </w:r>
      <w:r>
        <w:rPr>
          <w:rFonts w:hint="eastAsia" w:ascii="FangSong_GB2312" w:hAnsi="FangSong_GB2312" w:eastAsia="FangSong_GB2312" w:cs="FangSong_GB2312"/>
          <w:spacing w:val="7"/>
          <w:sz w:val="31"/>
          <w:szCs w:val="31"/>
          <w:highlight w:val="none"/>
          <w:lang w:val="en-US" w:eastAsia="zh-CN"/>
        </w:rPr>
        <w:t>430.8</w:t>
      </w:r>
      <w:r>
        <w:rPr>
          <w:rFonts w:ascii="FangSong_GB2312" w:hAnsi="FangSong_GB2312" w:eastAsia="FangSong_GB2312" w:cs="FangSong_GB2312"/>
          <w:spacing w:val="7"/>
          <w:sz w:val="31"/>
          <w:szCs w:val="31"/>
          <w:highlight w:val="none"/>
        </w:rPr>
        <w:t>万元</w:t>
      </w:r>
      <w:r>
        <w:rPr>
          <w:rFonts w:hint="eastAsia" w:ascii="FangSong_GB2312" w:hAnsi="FangSong_GB2312" w:eastAsia="FangSong_GB2312" w:cs="FangSong_GB2312"/>
          <w:spacing w:val="7"/>
          <w:sz w:val="31"/>
          <w:szCs w:val="31"/>
          <w:highlight w:val="none"/>
          <w:lang w:eastAsia="zh-CN"/>
        </w:rPr>
        <w:t>，</w:t>
      </w:r>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652</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highlight w:val="none"/>
        </w:rPr>
        <w:t>“</w:t>
      </w:r>
      <w:r>
        <w:rPr>
          <w:rFonts w:hint="eastAsia" w:ascii="FangSong_GB2312" w:hAnsi="FangSong_GB2312" w:eastAsia="FangSong_GB2312" w:cs="FangSong_GB2312"/>
          <w:spacing w:val="7"/>
          <w:sz w:val="31"/>
          <w:szCs w:val="31"/>
          <w:highlight w:val="none"/>
          <w:lang w:val="en-US" w:eastAsia="zh-CN"/>
        </w:rPr>
        <w:t>中央财政医务人员临时性工作补助资金</w:t>
      </w:r>
      <w:r>
        <w:rPr>
          <w:rFonts w:ascii="FangSong_GB2312" w:hAnsi="FangSong_GB2312" w:eastAsia="FangSong_GB2312" w:cs="FangSong_GB2312"/>
          <w:spacing w:val="7"/>
          <w:sz w:val="31"/>
          <w:szCs w:val="31"/>
          <w:highlight w:val="none"/>
        </w:rPr>
        <w:t>”项目预算</w:t>
      </w:r>
      <w:r>
        <w:rPr>
          <w:rFonts w:hint="eastAsia" w:ascii="FangSong_GB2312" w:hAnsi="FangSong_GB2312" w:eastAsia="FangSong_GB2312" w:cs="FangSong_GB2312"/>
          <w:spacing w:val="7"/>
          <w:sz w:val="31"/>
          <w:szCs w:val="31"/>
          <w:highlight w:val="none"/>
          <w:lang w:val="en-US" w:eastAsia="zh-CN"/>
        </w:rPr>
        <w:t>7.32</w:t>
      </w:r>
      <w:r>
        <w:rPr>
          <w:rFonts w:ascii="FangSong_GB2312" w:hAnsi="FangSong_GB2312" w:eastAsia="FangSong_GB2312" w:cs="FangSong_GB2312"/>
          <w:spacing w:val="7"/>
          <w:sz w:val="31"/>
          <w:szCs w:val="31"/>
          <w:highlight w:val="none"/>
        </w:rPr>
        <w:t>万元</w:t>
      </w:r>
      <w:r>
        <w:rPr>
          <w:rFonts w:hint="eastAsia" w:ascii="FangSong_GB2312" w:hAnsi="FangSong_GB2312" w:eastAsia="FangSong_GB2312" w:cs="FangSong_GB2312"/>
          <w:spacing w:val="7"/>
          <w:sz w:val="31"/>
          <w:szCs w:val="31"/>
          <w:highlight w:val="none"/>
          <w:lang w:eastAsia="zh-CN"/>
        </w:rPr>
        <w:t>，</w:t>
      </w:r>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36</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highlight w:val="none"/>
        </w:rPr>
        <w:t>“</w:t>
      </w:r>
      <w:r>
        <w:rPr>
          <w:rFonts w:hint="eastAsia" w:ascii="FangSong_GB2312" w:hAnsi="FangSong_GB2312" w:eastAsia="FangSong_GB2312" w:cs="FangSong_GB2312"/>
          <w:spacing w:val="7"/>
          <w:sz w:val="31"/>
          <w:szCs w:val="31"/>
          <w:highlight w:val="none"/>
          <w:lang w:val="en-US" w:eastAsia="zh-CN"/>
        </w:rPr>
        <w:t>2023年中央医疗服务与保障能力提升（医疗卫生机构能力建设）补助资金</w:t>
      </w:r>
      <w:r>
        <w:rPr>
          <w:rFonts w:ascii="FangSong_GB2312" w:hAnsi="FangSong_GB2312" w:eastAsia="FangSong_GB2312" w:cs="FangSong_GB2312"/>
          <w:spacing w:val="7"/>
          <w:sz w:val="31"/>
          <w:szCs w:val="31"/>
          <w:highlight w:val="none"/>
        </w:rPr>
        <w:t>”项目预算</w:t>
      </w:r>
      <w:r>
        <w:rPr>
          <w:rFonts w:hint="eastAsia" w:ascii="FangSong_GB2312" w:hAnsi="FangSong_GB2312" w:eastAsia="FangSong_GB2312" w:cs="FangSong_GB2312"/>
          <w:spacing w:val="7"/>
          <w:sz w:val="31"/>
          <w:szCs w:val="31"/>
          <w:highlight w:val="none"/>
          <w:lang w:val="en-US" w:eastAsia="zh-CN"/>
        </w:rPr>
        <w:t>55</w:t>
      </w:r>
      <w:r>
        <w:rPr>
          <w:rFonts w:ascii="FangSong_GB2312" w:hAnsi="FangSong_GB2312" w:eastAsia="FangSong_GB2312" w:cs="FangSong_GB2312"/>
          <w:spacing w:val="7"/>
          <w:sz w:val="31"/>
          <w:szCs w:val="31"/>
          <w:highlight w:val="none"/>
        </w:rPr>
        <w:t>万元</w:t>
      </w:r>
      <w:r>
        <w:rPr>
          <w:rFonts w:hint="eastAsia" w:ascii="FangSong_GB2312" w:hAnsi="FangSong_GB2312" w:eastAsia="FangSong_GB2312" w:cs="FangSong_GB2312"/>
          <w:spacing w:val="7"/>
          <w:sz w:val="31"/>
          <w:szCs w:val="31"/>
          <w:highlight w:val="none"/>
          <w:lang w:eastAsia="zh-CN"/>
        </w:rPr>
        <w:t>，</w:t>
      </w:r>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139</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highlight w:val="none"/>
        </w:rPr>
        <w:t>“</w:t>
      </w:r>
      <w:r>
        <w:rPr>
          <w:rFonts w:hint="eastAsia" w:ascii="FangSong_GB2312" w:hAnsi="FangSong_GB2312" w:eastAsia="FangSong_GB2312" w:cs="FangSong_GB2312"/>
          <w:spacing w:val="7"/>
          <w:sz w:val="31"/>
          <w:szCs w:val="31"/>
          <w:highlight w:val="none"/>
          <w:lang w:val="en-US" w:eastAsia="zh-CN"/>
        </w:rPr>
        <w:t>2023年自治区基本公共卫生服务补助资金</w:t>
      </w:r>
      <w:r>
        <w:rPr>
          <w:rFonts w:ascii="FangSong_GB2312" w:hAnsi="FangSong_GB2312" w:eastAsia="FangSong_GB2312" w:cs="FangSong_GB2312"/>
          <w:spacing w:val="7"/>
          <w:sz w:val="31"/>
          <w:szCs w:val="31"/>
          <w:highlight w:val="none"/>
        </w:rPr>
        <w:t>”项目预算</w:t>
      </w:r>
      <w:r>
        <w:rPr>
          <w:rFonts w:hint="eastAsia" w:ascii="FangSong_GB2312" w:hAnsi="FangSong_GB2312" w:eastAsia="FangSong_GB2312" w:cs="FangSong_GB2312"/>
          <w:spacing w:val="7"/>
          <w:sz w:val="31"/>
          <w:szCs w:val="31"/>
          <w:highlight w:val="none"/>
          <w:lang w:val="en-US" w:eastAsia="zh-CN"/>
        </w:rPr>
        <w:t>10</w:t>
      </w:r>
      <w:r>
        <w:rPr>
          <w:rFonts w:ascii="FangSong_GB2312" w:hAnsi="FangSong_GB2312" w:eastAsia="FangSong_GB2312" w:cs="FangSong_GB2312"/>
          <w:spacing w:val="7"/>
          <w:sz w:val="31"/>
          <w:szCs w:val="31"/>
          <w:highlight w:val="none"/>
        </w:rPr>
        <w:t>万元</w:t>
      </w:r>
      <w:r>
        <w:rPr>
          <w:rFonts w:hint="eastAsia" w:ascii="FangSong_GB2312" w:hAnsi="FangSong_GB2312" w:eastAsia="FangSong_GB2312" w:cs="FangSong_GB2312"/>
          <w:spacing w:val="7"/>
          <w:sz w:val="31"/>
          <w:szCs w:val="31"/>
          <w:highlight w:val="none"/>
          <w:lang w:eastAsia="zh-CN"/>
        </w:rPr>
        <w:t>，</w:t>
      </w:r>
      <w:r>
        <w:rPr>
          <w:rFonts w:ascii="FangSong_GB2312" w:hAnsi="FangSong_GB2312" w:eastAsia="FangSong_GB2312" w:cs="FangSong_GB2312"/>
          <w:spacing w:val="3"/>
          <w:sz w:val="31"/>
          <w:szCs w:val="31"/>
        </w:rPr>
        <w:t>依据</w:t>
      </w:r>
      <w:r>
        <w:rPr>
          <w:rFonts w:hint="eastAsia" w:ascii="FangSong_GB2312" w:hAnsi="FangSong_GB2312" w:eastAsia="FangSong_GB2312" w:cs="FangSong_GB2312"/>
          <w:spacing w:val="6"/>
          <w:sz w:val="31"/>
          <w:szCs w:val="31"/>
          <w:lang w:eastAsia="zh-CN"/>
        </w:rPr>
        <w:t>鄂财社指</w:t>
      </w:r>
      <w:r>
        <w:rPr>
          <w:rFonts w:hint="eastAsia" w:ascii="宋体" w:hAnsi="宋体" w:eastAsia="宋体" w:cs="宋体"/>
          <w:spacing w:val="6"/>
          <w:sz w:val="31"/>
          <w:szCs w:val="31"/>
        </w:rPr>
        <w:t>〔</w:t>
      </w:r>
      <w:r>
        <w:rPr>
          <w:rFonts w:hint="eastAsia" w:ascii="宋体" w:hAnsi="宋体" w:eastAsia="宋体" w:cs="宋体"/>
          <w:spacing w:val="6"/>
          <w:sz w:val="31"/>
          <w:szCs w:val="31"/>
          <w:lang w:val="en-US" w:eastAsia="zh-CN"/>
        </w:rPr>
        <w:t>2023</w:t>
      </w:r>
      <w:r>
        <w:rPr>
          <w:rFonts w:hint="eastAsia" w:ascii="宋体" w:hAnsi="宋体" w:eastAsia="宋体" w:cs="宋体"/>
          <w:spacing w:val="6"/>
          <w:sz w:val="31"/>
          <w:szCs w:val="31"/>
        </w:rPr>
        <w:t>〕</w:t>
      </w:r>
      <w:r>
        <w:rPr>
          <w:rFonts w:hint="eastAsia" w:ascii="宋体" w:hAnsi="宋体" w:cs="宋体"/>
          <w:spacing w:val="6"/>
          <w:sz w:val="31"/>
          <w:szCs w:val="31"/>
          <w:lang w:val="en-US" w:eastAsia="zh-CN"/>
        </w:rPr>
        <w:t>361</w:t>
      </w:r>
      <w:r>
        <w:rPr>
          <w:rFonts w:hint="eastAsia" w:ascii="宋体" w:hAnsi="宋体" w:eastAsia="宋体" w:cs="宋体"/>
          <w:spacing w:val="6"/>
          <w:sz w:val="31"/>
          <w:szCs w:val="31"/>
          <w:lang w:val="en-US" w:eastAsia="zh-CN"/>
        </w:rPr>
        <w:t>号</w:t>
      </w:r>
      <w:r>
        <w:rPr>
          <w:rFonts w:ascii="FangSong_GB2312" w:hAnsi="FangSong_GB2312" w:eastAsia="FangSong_GB2312" w:cs="FangSong_GB2312"/>
          <w:spacing w:val="2"/>
          <w:sz w:val="31"/>
          <w:szCs w:val="31"/>
        </w:rPr>
        <w:t>追加</w:t>
      </w:r>
      <w:r>
        <w:rPr>
          <w:rFonts w:ascii="FangSong_GB2312" w:hAnsi="FangSong_GB2312" w:eastAsia="FangSong_GB2312" w:cs="FangSong_GB2312"/>
          <w:spacing w:val="7"/>
          <w:sz w:val="31"/>
          <w:szCs w:val="31"/>
          <w:highlight w:val="none"/>
        </w:rPr>
        <w:t>“</w:t>
      </w:r>
      <w:r>
        <w:rPr>
          <w:rFonts w:hint="eastAsia" w:ascii="FangSong_GB2312" w:hAnsi="FangSong_GB2312" w:eastAsia="FangSong_GB2312" w:cs="FangSong_GB2312"/>
          <w:spacing w:val="7"/>
          <w:sz w:val="31"/>
          <w:szCs w:val="31"/>
          <w:highlight w:val="none"/>
          <w:lang w:val="en-US" w:eastAsia="zh-CN"/>
        </w:rPr>
        <w:t>2023年中央相关医务人员临时性补助资金（第二批)</w:t>
      </w:r>
      <w:r>
        <w:rPr>
          <w:rFonts w:ascii="FangSong_GB2312" w:hAnsi="FangSong_GB2312" w:eastAsia="FangSong_GB2312" w:cs="FangSong_GB2312"/>
          <w:spacing w:val="7"/>
          <w:sz w:val="31"/>
          <w:szCs w:val="31"/>
          <w:highlight w:val="none"/>
        </w:rPr>
        <w:t>”项目预算</w:t>
      </w:r>
      <w:r>
        <w:rPr>
          <w:rFonts w:hint="eastAsia" w:ascii="FangSong_GB2312" w:hAnsi="FangSong_GB2312" w:eastAsia="FangSong_GB2312" w:cs="FangSong_GB2312"/>
          <w:spacing w:val="7"/>
          <w:sz w:val="31"/>
          <w:szCs w:val="31"/>
          <w:highlight w:val="none"/>
          <w:lang w:val="en-US" w:eastAsia="zh-CN"/>
        </w:rPr>
        <w:t>2</w:t>
      </w:r>
      <w:r>
        <w:rPr>
          <w:rFonts w:ascii="FangSong_GB2312" w:hAnsi="FangSong_GB2312" w:eastAsia="FangSong_GB2312" w:cs="FangSong_GB2312"/>
          <w:spacing w:val="7"/>
          <w:sz w:val="31"/>
          <w:szCs w:val="31"/>
          <w:highlight w:val="none"/>
        </w:rPr>
        <w:t>万元</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eastAsia="zh-CN"/>
        </w:rPr>
        <w:t>三是事业收入增加</w:t>
      </w:r>
      <w:r>
        <w:rPr>
          <w:rFonts w:hint="eastAsia" w:ascii="仿宋_GB2312" w:hAnsi="仿宋_GB2312" w:eastAsia="仿宋_GB2312" w:cs="仿宋_GB2312"/>
          <w:kern w:val="0"/>
          <w:sz w:val="32"/>
          <w:szCs w:val="32"/>
          <w:highlight w:val="none"/>
          <w:u w:val="none"/>
          <w:lang w:val="en-US" w:eastAsia="zh-CN"/>
        </w:rPr>
        <w:t>126.98万元。</w:t>
      </w:r>
      <w:r>
        <w:rPr>
          <w:rFonts w:hint="eastAsia" w:ascii="仿宋_GB2312" w:hAnsi="仿宋_GB2312" w:eastAsia="仿宋_GB2312" w:cs="仿宋_GB2312"/>
          <w:kern w:val="0"/>
          <w:sz w:val="32"/>
          <w:szCs w:val="32"/>
          <w:highlight w:val="none"/>
          <w:u w:val="none"/>
        </w:rPr>
        <w:t>与上年决算相比，收、支总计各增加 1,177.50万元，增长 13.53%。其中：</w:t>
      </w:r>
    </w:p>
    <w:p w14:paraId="48F59674">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b w:val="0"/>
          <w:bCs w:val="0"/>
          <w:kern w:val="0"/>
          <w:sz w:val="32"/>
          <w:szCs w:val="32"/>
          <w:u w:val="none"/>
          <w:lang w:val="en-US" w:eastAsia="zh-CN"/>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收入决</w:t>
      </w:r>
      <w:r>
        <w:rPr>
          <w:rFonts w:hint="eastAsia" w:ascii="楷体_GB2312" w:hAnsi="楷体_GB2312" w:eastAsia="楷体_GB2312" w:cs="楷体_GB2312"/>
          <w:b w:val="0"/>
          <w:bCs w:val="0"/>
          <w:kern w:val="0"/>
          <w:sz w:val="32"/>
          <w:szCs w:val="32"/>
          <w:u w:val="none"/>
        </w:rPr>
        <w:t>算总计 9,879.44万元</w:t>
      </w:r>
      <w:r>
        <w:rPr>
          <w:rFonts w:hint="eastAsia" w:ascii="楷体_GB2312" w:hAnsi="楷体_GB2312" w:eastAsia="楷体_GB2312" w:cs="楷体_GB2312"/>
          <w:b w:val="0"/>
          <w:bCs w:val="0"/>
          <w:kern w:val="0"/>
          <w:sz w:val="32"/>
          <w:szCs w:val="32"/>
        </w:rPr>
        <w:t>。包括：</w:t>
      </w:r>
    </w:p>
    <w:p w14:paraId="2932EC52">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1.</w:t>
      </w:r>
      <w:bookmarkStart w:id="15" w:name="OLE_LINK2"/>
      <w:r>
        <w:rPr>
          <w:rFonts w:hint="eastAsia" w:ascii="仿宋_GB2312" w:hAnsi="仿宋_GB2312" w:eastAsia="仿宋_GB2312" w:cs="仿宋_GB2312"/>
          <w:kern w:val="0"/>
          <w:sz w:val="32"/>
          <w:szCs w:val="32"/>
          <w:u w:val="none"/>
        </w:rPr>
        <w:t>本年收入决算合计</w:t>
      </w:r>
      <w:bookmarkEnd w:id="15"/>
      <w:r>
        <w:rPr>
          <w:rFonts w:hint="eastAsia" w:ascii="仿宋_GB2312" w:hAnsi="仿宋_GB2312" w:eastAsia="仿宋_GB2312" w:cs="仿宋_GB2312"/>
          <w:kern w:val="0"/>
          <w:sz w:val="32"/>
          <w:szCs w:val="32"/>
          <w:u w:val="none"/>
        </w:rPr>
        <w:t xml:space="preserve"> 9,553.26万元。与</w:t>
      </w:r>
      <w:bookmarkStart w:id="16" w:name="OLE_LINK3"/>
      <w:r>
        <w:rPr>
          <w:rFonts w:hint="eastAsia" w:ascii="仿宋_GB2312" w:hAnsi="仿宋_GB2312" w:eastAsia="仿宋_GB2312" w:cs="仿宋_GB2312"/>
          <w:kern w:val="0"/>
          <w:sz w:val="32"/>
          <w:szCs w:val="32"/>
          <w:u w:val="none"/>
        </w:rPr>
        <w:t>上年决算</w:t>
      </w:r>
      <w:bookmarkEnd w:id="16"/>
      <w:r>
        <w:rPr>
          <w:rFonts w:hint="eastAsia" w:ascii="仿宋_GB2312" w:hAnsi="仿宋_GB2312" w:eastAsia="仿宋_GB2312" w:cs="仿宋_GB2312"/>
          <w:kern w:val="0"/>
          <w:sz w:val="32"/>
          <w:szCs w:val="32"/>
          <w:u w:val="none"/>
        </w:rPr>
        <w:t>相比，增加892.50万元，增长10.31%，变动</w:t>
      </w:r>
      <w:r>
        <w:rPr>
          <w:rFonts w:hint="eastAsia" w:ascii="仿宋_GB2312" w:hAnsi="仿宋_GB2312" w:eastAsia="仿宋_GB2312" w:cs="仿宋_GB2312"/>
          <w:kern w:val="0"/>
          <w:sz w:val="32"/>
          <w:szCs w:val="32"/>
          <w:u w:val="none"/>
          <w:lang w:eastAsia="zh-CN"/>
        </w:rPr>
        <w:t>主要</w:t>
      </w:r>
      <w:r>
        <w:rPr>
          <w:rFonts w:hint="eastAsia" w:ascii="仿宋_GB2312" w:hAnsi="仿宋_GB2312" w:eastAsia="仿宋_GB2312" w:cs="仿宋_GB2312"/>
          <w:kern w:val="0"/>
          <w:sz w:val="32"/>
          <w:szCs w:val="32"/>
          <w:u w:val="none"/>
        </w:rPr>
        <w:t>原因：</w:t>
      </w:r>
      <w:r>
        <w:rPr>
          <w:rFonts w:hint="eastAsia" w:ascii="仿宋_GB2312" w:hAnsi="仿宋_GB2312" w:eastAsia="仿宋_GB2312" w:cs="仿宋_GB2312"/>
          <w:kern w:val="0"/>
          <w:sz w:val="32"/>
          <w:szCs w:val="32"/>
          <w:u w:val="none"/>
          <w:lang w:eastAsia="zh-CN"/>
        </w:rPr>
        <w:t>一</w:t>
      </w:r>
      <w:r>
        <w:rPr>
          <w:rFonts w:hint="eastAsia" w:ascii="仿宋_GB2312" w:hAnsi="仿宋_GB2312" w:eastAsia="仿宋_GB2312" w:cs="仿宋_GB2312"/>
          <w:kern w:val="0"/>
          <w:sz w:val="32"/>
          <w:szCs w:val="32"/>
          <w:highlight w:val="none"/>
          <w:u w:val="none"/>
          <w:lang w:eastAsia="zh-CN"/>
        </w:rPr>
        <w:t>是财政拨款收入增加</w:t>
      </w:r>
      <w:r>
        <w:rPr>
          <w:rFonts w:hint="eastAsia" w:ascii="仿宋_GB2312" w:hAnsi="仿宋_GB2312" w:eastAsia="仿宋_GB2312" w:cs="仿宋_GB2312"/>
          <w:kern w:val="0"/>
          <w:sz w:val="32"/>
          <w:szCs w:val="32"/>
          <w:highlight w:val="none"/>
          <w:u w:val="none"/>
          <w:lang w:val="en-US" w:eastAsia="zh-CN"/>
        </w:rPr>
        <w:t>1533.13万元；二是事业收入增加126.98万元；三是202</w:t>
      </w:r>
      <w:r>
        <w:rPr>
          <w:rFonts w:hint="eastAsia" w:ascii="仿宋_GB2312" w:hAnsi="仿宋_GB2312" w:eastAsia="仿宋_GB2312" w:cs="仿宋_GB2312"/>
          <w:kern w:val="0"/>
          <w:sz w:val="32"/>
          <w:szCs w:val="32"/>
          <w:u w:val="none"/>
          <w:lang w:val="en-US" w:eastAsia="zh-CN"/>
        </w:rPr>
        <w:t>2年收到疫情捐赠收入750万元，导致2023年决算中其他收入较2022年决算中其他收入减少767.61万元</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综合以上，</w:t>
      </w:r>
      <w:r>
        <w:rPr>
          <w:rFonts w:hint="eastAsia" w:ascii="仿宋_GB2312" w:hAnsi="仿宋_GB2312" w:eastAsia="仿宋_GB2312" w:cs="仿宋_GB2312"/>
          <w:kern w:val="0"/>
          <w:sz w:val="32"/>
          <w:szCs w:val="32"/>
          <w:u w:val="none"/>
          <w:lang w:val="en-US" w:eastAsia="zh-CN"/>
        </w:rPr>
        <w:t>2023年</w:t>
      </w:r>
      <w:r>
        <w:rPr>
          <w:rFonts w:hint="eastAsia" w:ascii="仿宋_GB2312" w:hAnsi="仿宋_GB2312" w:eastAsia="仿宋_GB2312" w:cs="仿宋_GB2312"/>
          <w:kern w:val="0"/>
          <w:sz w:val="32"/>
          <w:szCs w:val="32"/>
          <w:u w:val="none"/>
        </w:rPr>
        <w:t>本年收入决算合计</w:t>
      </w:r>
      <w:r>
        <w:rPr>
          <w:rFonts w:hint="eastAsia" w:ascii="仿宋_GB2312" w:hAnsi="仿宋_GB2312" w:eastAsia="仿宋_GB2312" w:cs="仿宋_GB2312"/>
          <w:kern w:val="0"/>
          <w:sz w:val="32"/>
          <w:szCs w:val="32"/>
          <w:u w:val="none"/>
          <w:lang w:eastAsia="zh-CN"/>
        </w:rPr>
        <w:t>较</w:t>
      </w:r>
      <w:r>
        <w:rPr>
          <w:rFonts w:hint="eastAsia" w:ascii="仿宋_GB2312" w:hAnsi="仿宋_GB2312" w:eastAsia="仿宋_GB2312" w:cs="仿宋_GB2312"/>
          <w:kern w:val="0"/>
          <w:sz w:val="32"/>
          <w:szCs w:val="32"/>
          <w:u w:val="none"/>
        </w:rPr>
        <w:t>上年增加</w:t>
      </w:r>
      <w:r>
        <w:rPr>
          <w:rFonts w:hint="eastAsia" w:ascii="仿宋_GB2312" w:hAnsi="仿宋_GB2312" w:eastAsia="仿宋_GB2312" w:cs="仿宋_GB2312"/>
          <w:kern w:val="0"/>
          <w:sz w:val="32"/>
          <w:szCs w:val="32"/>
          <w:u w:val="none"/>
          <w:lang w:val="en-US" w:eastAsia="zh-CN"/>
        </w:rPr>
        <w:t>892.5万元。</w:t>
      </w:r>
    </w:p>
    <w:p w14:paraId="6E2E25D4">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2.使用非财政拨款结余和专用结余 0.00万元。与上年决算相比，减少32.78万元，减少100.00%，变动原因：</w:t>
      </w:r>
      <w:r>
        <w:rPr>
          <w:rFonts w:hint="eastAsia" w:ascii="仿宋_GB2312" w:hAnsi="仿宋_GB2312" w:eastAsia="仿宋_GB2312" w:cs="仿宋_GB2312"/>
          <w:kern w:val="0"/>
          <w:sz w:val="32"/>
          <w:szCs w:val="32"/>
          <w:u w:val="none"/>
          <w:lang w:val="en-US" w:eastAsia="zh-CN"/>
        </w:rPr>
        <w:t>2023年没有使用非财政拨款结余经费。</w:t>
      </w:r>
      <w:bookmarkEnd w:id="5"/>
    </w:p>
    <w:p w14:paraId="4D6E4D4F">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highlight w:val="none"/>
          <w:u w:val="none"/>
        </w:rPr>
        <w:t>3.年初结转和结余 326.18万元。与上年决算相比，增加 317.79万元，增长 3,787.61%，变动原因：</w:t>
      </w:r>
      <w:r>
        <w:rPr>
          <w:rFonts w:hint="eastAsia" w:ascii="仿宋_GB2312" w:hAnsi="仿宋_GB2312" w:eastAsia="仿宋_GB2312" w:cs="仿宋_GB2312"/>
          <w:kern w:val="0"/>
          <w:sz w:val="32"/>
          <w:szCs w:val="32"/>
          <w:highlight w:val="none"/>
          <w:u w:val="none"/>
          <w:lang w:eastAsia="zh-CN"/>
        </w:rPr>
        <w:t>上年上缴以前年度项目资金</w:t>
      </w:r>
      <w:r>
        <w:rPr>
          <w:rFonts w:hint="eastAsia" w:ascii="仿宋_GB2312" w:hAnsi="仿宋_GB2312" w:eastAsia="仿宋_GB2312" w:cs="仿宋_GB2312"/>
          <w:kern w:val="0"/>
          <w:sz w:val="32"/>
          <w:szCs w:val="32"/>
          <w:highlight w:val="none"/>
          <w:u w:val="none"/>
        </w:rPr>
        <w:t>。</w:t>
      </w:r>
    </w:p>
    <w:p w14:paraId="5B987937">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（二）支出决算总计 9,879.44万元。包括：</w:t>
      </w:r>
    </w:p>
    <w:p w14:paraId="52E19E8D">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u w:val="none"/>
        </w:rPr>
        <w:t>1.本年支出决算合计 9,546.95万元。与上年决算相比，增加1,171.19万元，增长 13.98%，变动原因：</w:t>
      </w:r>
      <w:r>
        <w:rPr>
          <w:rFonts w:hint="eastAsia" w:ascii="仿宋_GB2312" w:hAnsi="仿宋_GB2312" w:eastAsia="仿宋_GB2312" w:cs="仿宋_GB2312"/>
          <w:kern w:val="0"/>
          <w:sz w:val="32"/>
          <w:szCs w:val="32"/>
          <w:u w:val="none"/>
          <w:lang w:eastAsia="zh-CN"/>
        </w:rPr>
        <w:t>一是因</w:t>
      </w:r>
      <w:r>
        <w:rPr>
          <w:rFonts w:ascii="FangSong_GB2312" w:hAnsi="FangSong_GB2312" w:eastAsia="FangSong_GB2312" w:cs="FangSong_GB2312"/>
          <w:spacing w:val="6"/>
          <w:sz w:val="31"/>
          <w:szCs w:val="31"/>
        </w:rPr>
        <w:t>工资自然增长、社保</w:t>
      </w:r>
      <w:r>
        <w:rPr>
          <w:rFonts w:hint="eastAsia" w:ascii="FangSong_GB2312" w:hAnsi="FangSong_GB2312" w:eastAsia="FangSong_GB2312" w:cs="FangSong_GB2312"/>
          <w:spacing w:val="6"/>
          <w:sz w:val="31"/>
          <w:szCs w:val="31"/>
          <w:lang w:eastAsia="zh-CN"/>
        </w:rPr>
        <w:t>、</w:t>
      </w:r>
      <w:r>
        <w:rPr>
          <w:rFonts w:ascii="FangSong_GB2312" w:hAnsi="FangSong_GB2312" w:eastAsia="FangSong_GB2312" w:cs="FangSong_GB2312"/>
          <w:sz w:val="31"/>
          <w:szCs w:val="31"/>
        </w:rPr>
        <w:t>公积金缴费基数增长、单位新增人员、退休人员去世等原因，</w:t>
      </w:r>
      <w:r>
        <w:rPr>
          <w:rFonts w:hint="eastAsia" w:ascii="仿宋_GB2312" w:hAnsi="仿宋_GB2312" w:eastAsia="仿宋_GB2312" w:cs="仿宋_GB2312"/>
          <w:kern w:val="0"/>
          <w:sz w:val="32"/>
          <w:szCs w:val="32"/>
          <w:highlight w:val="none"/>
          <w:u w:val="none"/>
          <w:lang w:eastAsia="zh-CN"/>
        </w:rPr>
        <w:t>本年人员经费增加</w:t>
      </w:r>
      <w:r>
        <w:rPr>
          <w:rFonts w:hint="eastAsia" w:ascii="仿宋_GB2312" w:hAnsi="仿宋_GB2312" w:eastAsia="仿宋_GB2312" w:cs="仿宋_GB2312"/>
          <w:kern w:val="0"/>
          <w:sz w:val="32"/>
          <w:szCs w:val="32"/>
          <w:u w:val="none"/>
          <w:lang w:val="en-US" w:eastAsia="zh-CN"/>
        </w:rPr>
        <w:t>61.37万元，二是本年压减</w:t>
      </w:r>
      <w:bookmarkStart w:id="17" w:name="OLE_LINK41"/>
      <w:r>
        <w:rPr>
          <w:rFonts w:hint="eastAsia" w:ascii="仿宋_GB2312" w:hAnsi="仿宋_GB2312" w:eastAsia="仿宋_GB2312" w:cs="仿宋_GB2312"/>
          <w:kern w:val="0"/>
          <w:sz w:val="32"/>
          <w:szCs w:val="32"/>
          <w:u w:val="none"/>
          <w:lang w:val="en-US" w:eastAsia="zh-CN"/>
        </w:rPr>
        <w:t>公用经费</w:t>
      </w:r>
      <w:bookmarkEnd w:id="17"/>
      <w:r>
        <w:rPr>
          <w:rFonts w:hint="eastAsia" w:ascii="仿宋_GB2312" w:hAnsi="仿宋_GB2312" w:eastAsia="仿宋_GB2312" w:cs="仿宋_GB2312"/>
          <w:kern w:val="0"/>
          <w:sz w:val="32"/>
          <w:szCs w:val="32"/>
          <w:u w:val="none"/>
          <w:lang w:val="en-US" w:eastAsia="zh-CN"/>
        </w:rPr>
        <w:t>，公用经费减少14.42万元，三是</w:t>
      </w:r>
      <w:r>
        <w:rPr>
          <w:rFonts w:ascii="FangSong_GB2312" w:hAnsi="FangSong_GB2312" w:eastAsia="FangSong_GB2312" w:cs="FangSong_GB2312"/>
          <w:spacing w:val="6"/>
          <w:sz w:val="31"/>
          <w:szCs w:val="31"/>
        </w:rPr>
        <w:t>因工作任务增加</w:t>
      </w:r>
      <w:r>
        <w:rPr>
          <w:rFonts w:hint="eastAsia" w:ascii="FangSong_GB2312" w:hAnsi="FangSong_GB2312" w:eastAsia="FangSong_GB2312" w:cs="FangSong_GB2312"/>
          <w:spacing w:val="6"/>
          <w:sz w:val="31"/>
          <w:szCs w:val="31"/>
          <w:lang w:eastAsia="zh-CN"/>
        </w:rPr>
        <w:t>，本年主要增加传染病防控创新人才团队经费</w:t>
      </w:r>
      <w:r>
        <w:rPr>
          <w:rFonts w:hint="eastAsia" w:ascii="仿宋_GB2312" w:hAnsi="仿宋_GB2312" w:eastAsia="仿宋_GB2312" w:cs="仿宋_GB2312"/>
          <w:kern w:val="0"/>
          <w:sz w:val="32"/>
          <w:szCs w:val="32"/>
          <w:highlight w:val="none"/>
          <w:u w:val="none"/>
          <w:lang w:val="en-US" w:eastAsia="zh-CN"/>
        </w:rPr>
        <w:t>项目支出37.78万元，增加市直医疗卫生机构春节慰问金支出30万元，增加门诊医疗支出84万元，增加2023年新建实验楼（3-6层）购置设备支出2218.03万元，最终导致项目支出增加1124.24万元</w:t>
      </w:r>
      <w:r>
        <w:rPr>
          <w:rFonts w:hint="eastAsia" w:ascii="仿宋_GB2312" w:hAnsi="仿宋_GB2312" w:eastAsia="仿宋_GB2312" w:cs="仿宋_GB2312"/>
          <w:kern w:val="0"/>
          <w:sz w:val="32"/>
          <w:szCs w:val="32"/>
          <w:highlight w:val="none"/>
          <w:u w:val="none"/>
        </w:rPr>
        <w:t>。</w:t>
      </w:r>
    </w:p>
    <w:p w14:paraId="39496E74">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2.结余分配 0.93万元。结余分配事项：</w:t>
      </w:r>
      <w:r>
        <w:rPr>
          <w:rFonts w:hint="eastAsia" w:ascii="仿宋_GB2312" w:hAnsi="仿宋_GB2312" w:eastAsia="仿宋_GB2312" w:cs="仿宋_GB2312"/>
          <w:kern w:val="0"/>
          <w:sz w:val="32"/>
          <w:szCs w:val="32"/>
          <w:u w:val="none"/>
          <w:lang w:eastAsia="zh-CN"/>
        </w:rPr>
        <w:t>本年银行存款利息收入</w:t>
      </w:r>
      <w:r>
        <w:rPr>
          <w:rFonts w:hint="eastAsia" w:ascii="仿宋_GB2312" w:hAnsi="仿宋_GB2312" w:eastAsia="仿宋_GB2312" w:cs="仿宋_GB2312"/>
          <w:kern w:val="0"/>
          <w:sz w:val="32"/>
          <w:szCs w:val="32"/>
          <w:u w:val="none"/>
        </w:rPr>
        <w:t>。与上年决算相比，增加0.93万元，增长</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%，变动原因</w:t>
      </w:r>
      <w:r>
        <w:rPr>
          <w:rFonts w:hint="eastAsia" w:ascii="仿宋_GB2312" w:hAnsi="仿宋_GB2312" w:eastAsia="仿宋_GB2312" w:cs="仿宋_GB2312"/>
          <w:kern w:val="0"/>
          <w:sz w:val="32"/>
          <w:szCs w:val="32"/>
          <w:u w:val="none"/>
          <w:lang w:eastAsia="zh-CN"/>
        </w:rPr>
        <w:t>：上年无此项内容</w:t>
      </w:r>
      <w:r>
        <w:rPr>
          <w:rFonts w:hint="eastAsia" w:ascii="仿宋_GB2312" w:hAnsi="仿宋_GB2312" w:eastAsia="仿宋_GB2312" w:cs="仿宋_GB2312"/>
          <w:kern w:val="0"/>
          <w:sz w:val="32"/>
          <w:szCs w:val="32"/>
          <w:u w:val="none"/>
        </w:rPr>
        <w:t>。</w:t>
      </w:r>
    </w:p>
    <w:p w14:paraId="7812575B">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3.年末结转和结余 331.57万元。结转和结余事项：市级应用技术研究与开发项目经费</w:t>
      </w:r>
      <w:r>
        <w:rPr>
          <w:rFonts w:hint="eastAsia" w:ascii="仿宋_GB2312" w:hAnsi="仿宋_GB2312" w:eastAsia="仿宋_GB2312" w:cs="仿宋_GB2312"/>
          <w:kern w:val="0"/>
          <w:sz w:val="32"/>
          <w:szCs w:val="32"/>
          <w:u w:val="none"/>
          <w:lang w:val="en-US" w:eastAsia="zh-CN"/>
        </w:rPr>
        <w:t>9.63万元；</w:t>
      </w:r>
      <w:r>
        <w:rPr>
          <w:rFonts w:hint="eastAsia" w:ascii="仿宋_GB2312" w:hAnsi="仿宋_GB2312" w:eastAsia="仿宋_GB2312" w:cs="仿宋_GB2312"/>
          <w:kern w:val="0"/>
          <w:sz w:val="32"/>
          <w:szCs w:val="32"/>
          <w:u w:val="none"/>
        </w:rPr>
        <w:t>2023年市本级重点研发计划专项资金</w:t>
      </w:r>
      <w:r>
        <w:rPr>
          <w:rFonts w:hint="eastAsia" w:ascii="仿宋_GB2312" w:hAnsi="仿宋_GB2312" w:eastAsia="仿宋_GB2312" w:cs="仿宋_GB2312"/>
          <w:kern w:val="0"/>
          <w:sz w:val="32"/>
          <w:szCs w:val="32"/>
          <w:u w:val="none"/>
          <w:lang w:val="en-US" w:eastAsia="zh-CN"/>
        </w:rPr>
        <w:t>106.69万元；</w:t>
      </w:r>
      <w:r>
        <w:rPr>
          <w:rFonts w:hint="eastAsia" w:ascii="仿宋_GB2312" w:hAnsi="仿宋_GB2312" w:eastAsia="仿宋_GB2312" w:cs="仿宋_GB2312"/>
          <w:kern w:val="0"/>
          <w:sz w:val="32"/>
          <w:szCs w:val="32"/>
          <w:u w:val="none"/>
        </w:rPr>
        <w:t>HPV疫苗接种效果评价及影响因素研究经费</w:t>
      </w:r>
      <w:r>
        <w:rPr>
          <w:rFonts w:hint="eastAsia" w:ascii="仿宋_GB2312" w:hAnsi="仿宋_GB2312" w:eastAsia="仿宋_GB2312" w:cs="仿宋_GB2312"/>
          <w:kern w:val="0"/>
          <w:sz w:val="32"/>
          <w:szCs w:val="32"/>
          <w:u w:val="none"/>
          <w:lang w:val="en-US" w:eastAsia="zh-CN"/>
        </w:rPr>
        <w:t>11.88万元；</w:t>
      </w:r>
      <w:r>
        <w:rPr>
          <w:rFonts w:hint="eastAsia" w:ascii="仿宋_GB2312" w:hAnsi="仿宋_GB2312" w:eastAsia="仿宋_GB2312" w:cs="仿宋_GB2312"/>
          <w:kern w:val="0"/>
          <w:sz w:val="32"/>
          <w:szCs w:val="32"/>
          <w:u w:val="none"/>
        </w:rPr>
        <w:t>门诊医疗收入</w:t>
      </w:r>
      <w:r>
        <w:rPr>
          <w:rFonts w:hint="eastAsia" w:ascii="仿宋_GB2312" w:hAnsi="仿宋_GB2312" w:eastAsia="仿宋_GB2312" w:cs="仿宋_GB2312"/>
          <w:kern w:val="0"/>
          <w:sz w:val="32"/>
          <w:szCs w:val="32"/>
          <w:u w:val="none"/>
          <w:lang w:val="en-US" w:eastAsia="zh-CN"/>
        </w:rPr>
        <w:t>42.98万元；</w:t>
      </w:r>
      <w:r>
        <w:rPr>
          <w:rFonts w:hint="eastAsia" w:ascii="仿宋_GB2312" w:hAnsi="仿宋_GB2312" w:eastAsia="仿宋_GB2312" w:cs="仿宋_GB2312"/>
          <w:kern w:val="0"/>
          <w:sz w:val="32"/>
          <w:szCs w:val="32"/>
          <w:u w:val="none"/>
        </w:rPr>
        <w:t>集成式新冠核酸检测实验室专项款</w:t>
      </w:r>
      <w:r>
        <w:rPr>
          <w:rFonts w:hint="eastAsia" w:ascii="仿宋_GB2312" w:hAnsi="仿宋_GB2312" w:eastAsia="仿宋_GB2312" w:cs="仿宋_GB2312"/>
          <w:kern w:val="0"/>
          <w:sz w:val="32"/>
          <w:szCs w:val="32"/>
          <w:u w:val="none"/>
          <w:lang w:val="en-US" w:eastAsia="zh-CN"/>
        </w:rPr>
        <w:t>160.39万元</w:t>
      </w:r>
      <w:r>
        <w:rPr>
          <w:rFonts w:hint="eastAsia" w:ascii="仿宋_GB2312" w:hAnsi="仿宋_GB2312" w:eastAsia="仿宋_GB2312" w:cs="仿宋_GB2312"/>
          <w:kern w:val="0"/>
          <w:sz w:val="32"/>
          <w:szCs w:val="32"/>
          <w:u w:val="none"/>
        </w:rPr>
        <w:t>。与上年决算相比，增加5.39万元，增长1.65%，变动原因</w:t>
      </w:r>
      <w:r>
        <w:rPr>
          <w:rFonts w:hint="eastAsia" w:ascii="仿宋_GB2312" w:hAnsi="仿宋_GB2312" w:eastAsia="仿宋_GB2312" w:cs="仿宋_GB2312"/>
          <w:kern w:val="0"/>
          <w:sz w:val="32"/>
          <w:szCs w:val="32"/>
          <w:u w:val="none"/>
          <w:lang w:eastAsia="zh-CN"/>
        </w:rPr>
        <w:t>：本年新增门诊医疗收入</w:t>
      </w:r>
      <w:r>
        <w:rPr>
          <w:rFonts w:hint="eastAsia" w:ascii="仿宋_GB2312" w:hAnsi="仿宋_GB2312" w:eastAsia="仿宋_GB2312" w:cs="仿宋_GB2312"/>
          <w:kern w:val="0"/>
          <w:sz w:val="32"/>
          <w:szCs w:val="32"/>
          <w:u w:val="none"/>
        </w:rPr>
        <w:t>。</w:t>
      </w:r>
    </w:p>
    <w:p w14:paraId="043EA5CB">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outlineLvl w:val="1"/>
        <w:rPr>
          <w:rFonts w:ascii="Times New Roman" w:hAnsi="Times New Roman" w:eastAsia="Times New Roman" w:cs="Times New Roman"/>
          <w:b w:val="0"/>
          <w:bCs w:val="0"/>
          <w:kern w:val="0"/>
          <w:sz w:val="32"/>
          <w:szCs w:val="32"/>
        </w:rPr>
      </w:pPr>
      <w:bookmarkStart w:id="18" w:name="_Toc11756"/>
      <w:r>
        <w:rPr>
          <w:rFonts w:ascii="黑体" w:hAnsi="黑体" w:eastAsia="黑体" w:cs="黑体"/>
          <w:b w:val="0"/>
          <w:bCs w:val="0"/>
          <w:kern w:val="0"/>
          <w:sz w:val="32"/>
          <w:szCs w:val="32"/>
        </w:rPr>
        <w:t>二、收入决算情况说明</w:t>
      </w:r>
      <w:bookmarkEnd w:id="18"/>
    </w:p>
    <w:p w14:paraId="7CFB3D55">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kern w:val="0"/>
          <w:sz w:val="32"/>
          <w:szCs w:val="32"/>
          <w:u w:val="none"/>
        </w:rPr>
        <w:t xml:space="preserve"> 内蒙古自治区鄂尔多斯市疾病预防控制中心 2023年度本年收入决算合计9,553.26万元，其中：</w:t>
      </w:r>
    </w:p>
    <w:p w14:paraId="4013FFC4">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w:t>
      </w:r>
      <w:bookmarkStart w:id="19" w:name="OLE_LINK28"/>
      <w:r>
        <w:rPr>
          <w:rFonts w:hint="eastAsia" w:ascii="仿宋_GB2312" w:hAnsi="仿宋_GB2312" w:eastAsia="仿宋_GB2312" w:cs="仿宋_GB2312"/>
          <w:kern w:val="0"/>
          <w:sz w:val="32"/>
          <w:szCs w:val="32"/>
          <w:u w:val="none"/>
        </w:rPr>
        <w:t>一般公共预算财政拨款收入</w:t>
      </w:r>
      <w:bookmarkEnd w:id="19"/>
      <w:r>
        <w:rPr>
          <w:rFonts w:hint="eastAsia" w:ascii="仿宋_GB2312" w:hAnsi="仿宋_GB2312" w:eastAsia="仿宋_GB2312" w:cs="仿宋_GB2312"/>
          <w:kern w:val="0"/>
          <w:sz w:val="32"/>
          <w:szCs w:val="32"/>
          <w:u w:val="none"/>
        </w:rPr>
        <w:t>9,411.58万元，占98.52%；</w:t>
      </w:r>
    </w:p>
    <w:p w14:paraId="2355B080">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本年政府性基金预算财政拨款收入0.00万元，占0.00%；</w:t>
      </w:r>
    </w:p>
    <w:p w14:paraId="0E839C63">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本年国有资本经营预算财政拨款收入0.00万元，占0.00%；</w:t>
      </w:r>
    </w:p>
    <w:p w14:paraId="7E772D78">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本年上级补助收入0.00万元，占0.00%；</w:t>
      </w:r>
    </w:p>
    <w:p w14:paraId="1A389048">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w:t>
      </w:r>
      <w:bookmarkStart w:id="20" w:name="OLE_LINK29"/>
      <w:r>
        <w:rPr>
          <w:rFonts w:hint="eastAsia" w:ascii="仿宋_GB2312" w:hAnsi="仿宋_GB2312" w:eastAsia="仿宋_GB2312" w:cs="仿宋_GB2312"/>
          <w:kern w:val="0"/>
          <w:sz w:val="32"/>
          <w:szCs w:val="32"/>
          <w:u w:val="none"/>
        </w:rPr>
        <w:t>事业收入</w:t>
      </w:r>
      <w:bookmarkEnd w:id="20"/>
      <w:r>
        <w:rPr>
          <w:rFonts w:hint="eastAsia" w:ascii="仿宋_GB2312" w:hAnsi="仿宋_GB2312" w:eastAsia="仿宋_GB2312" w:cs="仿宋_GB2312"/>
          <w:kern w:val="0"/>
          <w:sz w:val="32"/>
          <w:szCs w:val="32"/>
          <w:u w:val="none"/>
        </w:rPr>
        <w:t>126.98万元，占1.33%；</w:t>
      </w:r>
    </w:p>
    <w:p w14:paraId="29342D0E">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本年经营收入0.00万元，占0.00%；</w:t>
      </w:r>
    </w:p>
    <w:p w14:paraId="4257C15A">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本年附属单位上缴收入0.00万元，占0.00%；</w:t>
      </w:r>
    </w:p>
    <w:p w14:paraId="4B2C0DC6">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本年其他收入14.70万元，占0.15%。</w:t>
      </w:r>
    </w:p>
    <w:p w14:paraId="0928ECD0">
      <w:pPr>
        <w:keepNext w:val="0"/>
        <w:keepLines w:val="0"/>
        <w:pageBreakBefore w:val="0"/>
        <w:widowControl/>
        <w:wordWrap/>
        <w:overflowPunct/>
        <w:topLinePunct w:val="0"/>
        <w:bidi w:val="0"/>
        <w:spacing w:line="560" w:lineRule="atLeast"/>
        <w:ind w:left="0" w:leftChars="0"/>
        <w:rPr>
          <w:rFonts w:ascii="fang_song_gb2312" w:hAnsi="fang_song_gb2312" w:eastAsia="fang_song_gb2312" w:cs="fang_song_gb2312"/>
          <w:color w:val="0E00FE"/>
          <w:kern w:val="0"/>
          <w:sz w:val="27"/>
          <w:szCs w:val="27"/>
        </w:rPr>
      </w:pPr>
    </w:p>
    <w:p w14:paraId="17F83F77">
      <w:pPr>
        <w:keepNext w:val="0"/>
        <w:keepLines w:val="0"/>
        <w:pageBreakBefore w:val="0"/>
        <w:widowControl/>
        <w:wordWrap/>
        <w:overflowPunct/>
        <w:topLinePunct w:val="0"/>
        <w:bidi w:val="0"/>
        <w:spacing w:line="560" w:lineRule="atLeast"/>
        <w:ind w:left="0" w:leftChars="0"/>
      </w:pPr>
      <w:r>
        <w:rPr>
          <w:rFonts w:ascii="fang_song_gb2312" w:hAnsi="fang_song_gb2312" w:eastAsia="fang_song_gb2312" w:cs="fang_song_gb2312"/>
          <w:color w:val="0E00FE"/>
          <w:kern w:val="0"/>
          <w:sz w:val="27"/>
          <w:szCs w:val="27"/>
        </w:rPr>
        <w:t xml:space="preserve">    </w:t>
      </w:r>
      <w:r>
        <w:drawing>
          <wp:inline distT="0" distB="0" distL="114300" distR="114300">
            <wp:extent cx="5029200" cy="2255520"/>
            <wp:effectExtent l="4445" t="4445" r="14605" b="698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D0E9EE6">
      <w:pPr>
        <w:keepNext w:val="0"/>
        <w:keepLines w:val="0"/>
        <w:pageBreakBefore w:val="0"/>
        <w:widowControl/>
        <w:wordWrap/>
        <w:overflowPunct/>
        <w:topLinePunct w:val="0"/>
        <w:bidi w:val="0"/>
        <w:spacing w:line="560" w:lineRule="atLeast"/>
        <w:ind w:left="0" w:leftChars="0"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收入决算图</w:t>
      </w:r>
    </w:p>
    <w:p w14:paraId="0446187D">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outlineLvl w:val="1"/>
        <w:rPr>
          <w:rFonts w:ascii="黑体" w:hAnsi="黑体" w:eastAsia="黑体" w:cs="黑体"/>
          <w:b w:val="0"/>
          <w:bCs w:val="0"/>
          <w:kern w:val="0"/>
          <w:sz w:val="32"/>
          <w:szCs w:val="32"/>
        </w:rPr>
      </w:pPr>
      <w:bookmarkStart w:id="21" w:name="_Toc19803"/>
      <w:r>
        <w:rPr>
          <w:rFonts w:hint="eastAsia" w:ascii="黑体" w:hAnsi="黑体" w:eastAsia="黑体" w:cs="黑体"/>
          <w:b w:val="0"/>
          <w:bCs w:val="0"/>
          <w:kern w:val="0"/>
          <w:sz w:val="32"/>
          <w:szCs w:val="32"/>
          <w:lang w:eastAsia="zh-CN"/>
        </w:rPr>
        <w:t>三、</w:t>
      </w:r>
      <w:r>
        <w:rPr>
          <w:rFonts w:ascii="黑体" w:hAnsi="黑体" w:eastAsia="黑体" w:cs="黑体"/>
          <w:b w:val="0"/>
          <w:bCs w:val="0"/>
          <w:kern w:val="0"/>
          <w:sz w:val="32"/>
          <w:szCs w:val="32"/>
        </w:rPr>
        <w:t>支出决算情况说明</w:t>
      </w:r>
      <w:bookmarkEnd w:id="21"/>
    </w:p>
    <w:p w14:paraId="2CB42907">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内蒙古自治区鄂尔多斯市疾病预防控制中心2023年度本年支出决算合计9,546.95万元，其中：</w:t>
      </w:r>
    </w:p>
    <w:p w14:paraId="059BB624">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w:t>
      </w:r>
      <w:bookmarkStart w:id="22" w:name="OLE_LINK30"/>
      <w:r>
        <w:rPr>
          <w:rFonts w:hint="eastAsia" w:ascii="仿宋_GB2312" w:hAnsi="仿宋_GB2312" w:eastAsia="仿宋_GB2312" w:cs="仿宋_GB2312"/>
          <w:kern w:val="0"/>
          <w:sz w:val="32"/>
          <w:szCs w:val="32"/>
          <w:u w:val="none"/>
        </w:rPr>
        <w:t>基本支出</w:t>
      </w:r>
      <w:bookmarkEnd w:id="22"/>
      <w:r>
        <w:rPr>
          <w:rFonts w:hint="eastAsia" w:ascii="仿宋_GB2312" w:hAnsi="仿宋_GB2312" w:eastAsia="仿宋_GB2312" w:cs="仿宋_GB2312"/>
          <w:kern w:val="0"/>
          <w:sz w:val="32"/>
          <w:szCs w:val="32"/>
          <w:u w:val="none"/>
        </w:rPr>
        <w:t>4,515.71万元，占47.30%；</w:t>
      </w:r>
    </w:p>
    <w:p w14:paraId="237DD284">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本年项目支出5,031.24万元，占52.70%；</w:t>
      </w:r>
    </w:p>
    <w:p w14:paraId="68B27E5A">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本年上缴上级支出0.00万元，占0.00%；</w:t>
      </w:r>
    </w:p>
    <w:p w14:paraId="0C0FA747">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本年经营支出0.00万元，占0.00%；</w:t>
      </w:r>
    </w:p>
    <w:p w14:paraId="52C0AD2C">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本年对附属单位补助支出0.00万元，占0.00%。</w:t>
      </w:r>
    </w:p>
    <w:p w14:paraId="1A463995">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ascii="Times New Roman" w:hAnsi="Times New Roman" w:eastAsia="Times New Roman" w:cs="Times New Roman"/>
          <w:kern w:val="0"/>
          <w:sz w:val="24"/>
        </w:rPr>
      </w:pPr>
      <w:r>
        <w:rPr>
          <w:rFonts w:hint="eastAsia" w:ascii="仿宋_GB2312" w:hAnsi="仿宋_GB2312" w:eastAsia="仿宋_GB2312" w:cs="仿宋_GB2312"/>
          <w:color w:val="0E00FE"/>
          <w:kern w:val="0"/>
          <w:sz w:val="32"/>
          <w:szCs w:val="32"/>
          <w:u w:val="none"/>
        </w:rPr>
        <w:t> </w:t>
      </w:r>
      <w:r>
        <w:drawing>
          <wp:inline distT="0" distB="0" distL="114300" distR="114300">
            <wp:extent cx="5804535" cy="2649855"/>
            <wp:effectExtent l="4445" t="4445" r="20320" b="1270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6F1ED5">
      <w:pPr>
        <w:keepNext w:val="0"/>
        <w:keepLines w:val="0"/>
        <w:pageBreakBefore w:val="0"/>
        <w:widowControl/>
        <w:wordWrap/>
        <w:overflowPunct/>
        <w:topLinePunct w:val="0"/>
        <w:bidi w:val="0"/>
        <w:spacing w:line="560" w:lineRule="atLeast"/>
        <w:ind w:left="0" w:leftChars="0" w:firstLine="4160" w:firstLineChars="13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支出决算图</w:t>
      </w:r>
    </w:p>
    <w:p w14:paraId="5F7DB4C1">
      <w:pPr>
        <w:keepNext w:val="0"/>
        <w:keepLines w:val="0"/>
        <w:pageBreakBefore w:val="0"/>
        <w:widowControl/>
        <w:wordWrap/>
        <w:overflowPunct/>
        <w:topLinePunct w:val="0"/>
        <w:bidi w:val="0"/>
        <w:spacing w:line="560" w:lineRule="atLeast"/>
        <w:ind w:left="0" w:leftChars="0" w:firstLine="640" w:firstLineChars="200"/>
        <w:jc w:val="left"/>
        <w:outlineLvl w:val="1"/>
        <w:rPr>
          <w:rFonts w:ascii="Times New Roman" w:hAnsi="Times New Roman" w:eastAsia="Times New Roman" w:cs="Times New Roman"/>
          <w:b w:val="0"/>
          <w:bCs w:val="0"/>
          <w:kern w:val="0"/>
          <w:sz w:val="32"/>
          <w:szCs w:val="32"/>
        </w:rPr>
      </w:pPr>
      <w:bookmarkStart w:id="23" w:name="_Toc7896"/>
      <w:r>
        <w:rPr>
          <w:rFonts w:ascii="黑体" w:hAnsi="黑体" w:eastAsia="黑体" w:cs="黑体"/>
          <w:b w:val="0"/>
          <w:bCs w:val="0"/>
          <w:kern w:val="0"/>
          <w:sz w:val="32"/>
          <w:szCs w:val="32"/>
        </w:rPr>
        <w:t>四、财政拨款收入支出决算总体情况说明</w:t>
      </w:r>
      <w:bookmarkEnd w:id="23"/>
    </w:p>
    <w:p w14:paraId="74626785">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内蒙古自治区鄂尔多斯市疾病预防控制中心2023年度财政拨款收入、支出决算总计9,411.58万元，与年初预算相比，收、支总计各增加3,390.27万元，增长56.30%，变动原因：</w:t>
      </w:r>
      <w:r>
        <w:rPr>
          <w:rFonts w:hint="eastAsia" w:ascii="仿宋_GB2312" w:hAnsi="仿宋_GB2312" w:eastAsia="仿宋_GB2312" w:cs="仿宋_GB2312"/>
          <w:b w:val="0"/>
          <w:bCs w:val="0"/>
          <w:kern w:val="0"/>
          <w:sz w:val="32"/>
          <w:szCs w:val="32"/>
          <w:u w:val="none"/>
        </w:rPr>
        <w:t>一是因工资自然增长、社保公积金缴费基数变动、单</w:t>
      </w:r>
      <w:r>
        <w:rPr>
          <w:rFonts w:hint="eastAsia" w:ascii="仿宋_GB2312" w:hAnsi="仿宋_GB2312" w:eastAsia="仿宋_GB2312" w:cs="仿宋_GB2312"/>
          <w:b w:val="0"/>
          <w:bCs w:val="0"/>
          <w:kern w:val="0"/>
          <w:sz w:val="32"/>
          <w:szCs w:val="32"/>
          <w:highlight w:val="none"/>
          <w:u w:val="none"/>
        </w:rPr>
        <w:t>位新增人员、退休人员去世、清算退休职工职业年金等原因，追加基本支出人员经费</w:t>
      </w:r>
      <w:r>
        <w:rPr>
          <w:rFonts w:hint="eastAsia" w:ascii="仿宋_GB2312" w:hAnsi="仿宋_GB2312" w:eastAsia="仿宋_GB2312" w:cs="仿宋_GB2312"/>
          <w:b w:val="0"/>
          <w:bCs w:val="0"/>
          <w:kern w:val="0"/>
          <w:sz w:val="32"/>
          <w:szCs w:val="32"/>
          <w:highlight w:val="none"/>
          <w:u w:val="none"/>
          <w:lang w:eastAsia="zh-CN"/>
        </w:rPr>
        <w:t>。</w:t>
      </w:r>
      <w:bookmarkStart w:id="24" w:name="OLE_LINK42"/>
      <w:r>
        <w:rPr>
          <w:rFonts w:hint="eastAsia" w:ascii="仿宋_GB2312" w:hAnsi="仿宋_GB2312" w:eastAsia="仿宋_GB2312" w:cs="仿宋_GB2312"/>
          <w:b w:val="0"/>
          <w:bCs w:val="0"/>
          <w:kern w:val="0"/>
          <w:sz w:val="32"/>
          <w:szCs w:val="32"/>
          <w:highlight w:val="none"/>
          <w:u w:val="none"/>
        </w:rPr>
        <w:t>二是</w:t>
      </w:r>
      <w:r>
        <w:rPr>
          <w:rFonts w:hint="eastAsia" w:ascii="仿宋_GB2312" w:hAnsi="仿宋_GB2312" w:eastAsia="仿宋_GB2312" w:cs="仿宋_GB2312"/>
          <w:b w:val="0"/>
          <w:bCs w:val="0"/>
          <w:kern w:val="0"/>
          <w:sz w:val="32"/>
          <w:szCs w:val="32"/>
          <w:highlight w:val="none"/>
          <w:u w:val="none"/>
          <w:lang w:eastAsia="zh-CN"/>
        </w:rPr>
        <w:t>追加项目经费，主要</w:t>
      </w:r>
      <w:r>
        <w:rPr>
          <w:rFonts w:hint="eastAsia" w:ascii="仿宋_GB2312" w:hAnsi="仿宋_GB2312" w:eastAsia="仿宋_GB2312" w:cs="仿宋_GB2312"/>
          <w:b w:val="0"/>
          <w:bCs w:val="0"/>
          <w:kern w:val="0"/>
          <w:sz w:val="32"/>
          <w:szCs w:val="32"/>
          <w:highlight w:val="none"/>
          <w:u w:val="none"/>
        </w:rPr>
        <w:t>追加</w:t>
      </w:r>
      <w:r>
        <w:rPr>
          <w:rFonts w:hint="eastAsia" w:ascii="仿宋_GB2312" w:hAnsi="仿宋_GB2312" w:eastAsia="仿宋_GB2312" w:cs="仿宋_GB2312"/>
          <w:b w:val="0"/>
          <w:bCs w:val="0"/>
          <w:kern w:val="0"/>
          <w:sz w:val="32"/>
          <w:szCs w:val="32"/>
          <w:highlight w:val="none"/>
          <w:u w:val="none"/>
          <w:lang w:eastAsia="zh-CN"/>
        </w:rPr>
        <w:t>了</w:t>
      </w:r>
      <w:r>
        <w:rPr>
          <w:rFonts w:hint="eastAsia" w:ascii="仿宋_GB2312" w:hAnsi="仿宋_GB2312" w:eastAsia="仿宋_GB2312" w:cs="仿宋_GB2312"/>
          <w:b w:val="0"/>
          <w:bCs w:val="0"/>
          <w:kern w:val="0"/>
          <w:sz w:val="32"/>
          <w:szCs w:val="32"/>
          <w:highlight w:val="none"/>
          <w:u w:val="none"/>
        </w:rPr>
        <w:t>202</w:t>
      </w:r>
      <w:r>
        <w:rPr>
          <w:rFonts w:hint="eastAsia" w:ascii="仿宋_GB2312" w:hAnsi="仿宋_GB2312" w:eastAsia="仿宋_GB2312" w:cs="仿宋_GB2312"/>
          <w:b w:val="0"/>
          <w:bCs w:val="0"/>
          <w:kern w:val="0"/>
          <w:sz w:val="32"/>
          <w:szCs w:val="32"/>
          <w:highlight w:val="none"/>
          <w:u w:val="none"/>
          <w:lang w:val="en-US" w:eastAsia="zh-CN"/>
        </w:rPr>
        <w:t>3年中央医疗服务与保障能力提升（医疗卫生机构能力建设）补助资金37.61万元，中央财政医务人员临时性工作补助资金7.32万元，2023年自治区基本公共卫生服务补助资金7.59万元，2023年中央基本公共卫生服务补助资金46.02万元，2023年中央重大传染病防控补助资金245.17万元，2023年新建实验楼（3-6层）购置设备2218.03万元</w:t>
      </w:r>
      <w:r>
        <w:rPr>
          <w:rFonts w:hint="eastAsia" w:ascii="仿宋_GB2312" w:hAnsi="仿宋_GB2312" w:eastAsia="仿宋_GB2312" w:cs="仿宋_GB2312"/>
          <w:kern w:val="0"/>
          <w:sz w:val="32"/>
          <w:szCs w:val="32"/>
          <w:highlight w:val="none"/>
          <w:u w:val="none"/>
        </w:rPr>
        <w:t>；与上</w:t>
      </w:r>
      <w:r>
        <w:rPr>
          <w:rFonts w:hint="eastAsia" w:ascii="仿宋_GB2312" w:hAnsi="仿宋_GB2312" w:eastAsia="仿宋_GB2312" w:cs="仿宋_GB2312"/>
          <w:kern w:val="0"/>
          <w:sz w:val="32"/>
          <w:szCs w:val="32"/>
          <w:u w:val="none"/>
        </w:rPr>
        <w:t>年决算相比，收、支总计各增加 1,525.69万元，增长 19.35%，变动原因：</w:t>
      </w:r>
      <w:r>
        <w:rPr>
          <w:rFonts w:hint="eastAsia" w:ascii="仿宋_GB2312" w:hAnsi="仿宋_GB2312" w:eastAsia="仿宋_GB2312" w:cs="仿宋_GB2312"/>
          <w:kern w:val="0"/>
          <w:sz w:val="32"/>
          <w:szCs w:val="32"/>
          <w:u w:val="none"/>
          <w:lang w:val="en-US" w:eastAsia="zh-CN"/>
        </w:rPr>
        <w:t>2023年财政新增</w:t>
      </w:r>
      <w:r>
        <w:rPr>
          <w:rFonts w:hint="eastAsia" w:ascii="仿宋_GB2312" w:hAnsi="仿宋_GB2312" w:eastAsia="仿宋_GB2312" w:cs="仿宋_GB2312"/>
          <w:b w:val="0"/>
          <w:bCs w:val="0"/>
          <w:kern w:val="0"/>
          <w:sz w:val="32"/>
          <w:szCs w:val="32"/>
          <w:u w:val="none"/>
          <w:lang w:val="en-US" w:eastAsia="zh-CN"/>
        </w:rPr>
        <w:t>下达市疾控中心疫情期间一次性绩效工资317.96万元</w:t>
      </w:r>
      <w:r>
        <w:rPr>
          <w:rFonts w:hint="eastAsia" w:ascii="仿宋_GB2312" w:hAnsi="仿宋_GB2312" w:eastAsia="仿宋_GB2312" w:cs="仿宋_GB2312"/>
          <w:kern w:val="0"/>
          <w:sz w:val="32"/>
          <w:szCs w:val="32"/>
          <w:u w:val="none"/>
          <w:lang w:val="en-US" w:eastAsia="zh-CN"/>
        </w:rPr>
        <w:t>以及2023年新建实验楼（3-6层）购置设备经费2218.03万元。</w:t>
      </w:r>
    </w:p>
    <w:bookmarkEnd w:id="24"/>
    <w:p w14:paraId="5E022D9A">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outlineLvl w:val="1"/>
        <w:rPr>
          <w:rFonts w:ascii="Times New Roman" w:hAnsi="Times New Roman" w:eastAsia="Times New Roman" w:cs="Times New Roman"/>
          <w:b w:val="0"/>
          <w:bCs w:val="0"/>
          <w:kern w:val="0"/>
          <w:sz w:val="32"/>
          <w:szCs w:val="32"/>
        </w:rPr>
      </w:pPr>
      <w:bookmarkStart w:id="25" w:name="_Toc20527"/>
      <w:r>
        <w:rPr>
          <w:rFonts w:ascii="黑体" w:hAnsi="黑体" w:eastAsia="黑体" w:cs="黑体"/>
          <w:b w:val="0"/>
          <w:bCs w:val="0"/>
          <w:kern w:val="0"/>
          <w:sz w:val="32"/>
          <w:szCs w:val="32"/>
        </w:rPr>
        <w:t>五、一般公共预算财政拨款支出决算情况说明</w:t>
      </w:r>
      <w:bookmarkEnd w:id="25"/>
    </w:p>
    <w:p w14:paraId="58FC21BE">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内蒙古自治区鄂尔多斯市疾病预防控制中心2023年度一般公共预算财政拨款支出决算9,295.27万元。与年初预算6,021.31万元相比，完成年初预算的154.37%。其中：</w:t>
      </w:r>
    </w:p>
    <w:p w14:paraId="3AD4938D">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（一）科学技术支出（类）</w:t>
      </w:r>
    </w:p>
    <w:p w14:paraId="7DE2C859">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eastAsia" w:ascii="仿宋_GB2312" w:hAnsi="仿宋_GB2312" w:eastAsia="仿宋_GB2312" w:cs="仿宋_GB2312"/>
          <w:kern w:val="0"/>
          <w:sz w:val="32"/>
          <w:szCs w:val="32"/>
        </w:rPr>
      </w:pPr>
      <w:r>
        <w:rPr>
          <w:rFonts w:ascii="fang_song_gb2312" w:hAnsi="fang_song_gb2312" w:eastAsia="fang_song_gb2312" w:cs="fang_song_gb2312"/>
          <w:kern w:val="0"/>
          <w:sz w:val="32"/>
          <w:szCs w:val="32"/>
        </w:rPr>
        <w:t> </w:t>
      </w:r>
      <w:r>
        <w:rPr>
          <w:rFonts w:hint="eastAsia" w:ascii="仿宋_GB2312" w:hAnsi="仿宋_GB2312" w:eastAsia="仿宋_GB2312" w:cs="仿宋_GB2312"/>
          <w:kern w:val="0"/>
          <w:sz w:val="32"/>
          <w:szCs w:val="32"/>
        </w:rPr>
        <w:t>科学技术支出类决算数为</w:t>
      </w:r>
      <w:r>
        <w:rPr>
          <w:rFonts w:hint="eastAsia" w:ascii="仿宋_GB2312" w:hAnsi="仿宋_GB2312" w:eastAsia="仿宋_GB2312" w:cs="仿宋_GB2312"/>
          <w:kern w:val="0"/>
          <w:sz w:val="32"/>
          <w:szCs w:val="32"/>
          <w:lang w:val="en-US" w:eastAsia="zh-CN"/>
        </w:rPr>
        <w:t>43.82</w:t>
      </w:r>
      <w:r>
        <w:rPr>
          <w:rFonts w:hint="eastAsia" w:ascii="仿宋_GB2312" w:hAnsi="仿宋_GB2312" w:eastAsia="仿宋_GB2312" w:cs="仿宋_GB2312"/>
          <w:kern w:val="0"/>
          <w:sz w:val="32"/>
          <w:szCs w:val="32"/>
        </w:rPr>
        <w:t>万元，与年初预算相比减少</w:t>
      </w:r>
      <w:r>
        <w:rPr>
          <w:rFonts w:hint="eastAsia" w:ascii="仿宋_GB2312" w:hAnsi="仿宋_GB2312" w:eastAsia="仿宋_GB2312" w:cs="仿宋_GB2312"/>
          <w:kern w:val="0"/>
          <w:sz w:val="32"/>
          <w:szCs w:val="32"/>
          <w:lang w:val="en-US" w:eastAsia="zh-CN"/>
        </w:rPr>
        <w:t>21.85</w:t>
      </w:r>
      <w:r>
        <w:rPr>
          <w:rFonts w:hint="eastAsia" w:ascii="仿宋_GB2312" w:hAnsi="仿宋_GB2312" w:eastAsia="仿宋_GB2312" w:cs="仿宋_GB2312"/>
          <w:kern w:val="0"/>
          <w:sz w:val="32"/>
          <w:szCs w:val="32"/>
        </w:rPr>
        <w:t>万元。其中：</w:t>
      </w:r>
    </w:p>
    <w:p w14:paraId="2F32F773">
      <w:pPr>
        <w:keepNext w:val="0"/>
        <w:keepLines w:val="0"/>
        <w:pageBreakBefore w:val="0"/>
        <w:widowControl/>
        <w:suppressLineNumbers w:val="0"/>
        <w:wordWrap/>
        <w:overflowPunct/>
        <w:topLinePunct w:val="0"/>
        <w:bidi w:val="0"/>
        <w:spacing w:line="560" w:lineRule="atLeast"/>
        <w:ind w:left="0" w:leftChars="0"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技术研究与开发（款）其他技术研究与开发支出（项）。年初预算</w:t>
      </w:r>
      <w:r>
        <w:rPr>
          <w:rFonts w:hint="eastAsia" w:ascii="仿宋_GB2312" w:hAnsi="仿宋_GB2312" w:eastAsia="仿宋_GB2312" w:cs="仿宋_GB2312"/>
          <w:kern w:val="0"/>
          <w:sz w:val="32"/>
          <w:szCs w:val="32"/>
          <w:lang w:val="en-US" w:eastAsia="zh-CN"/>
        </w:rPr>
        <w:t>65.67</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43.82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highlight w:val="none"/>
        </w:rPr>
        <w:t>完成年初预算的</w:t>
      </w:r>
      <w:r>
        <w:rPr>
          <w:rFonts w:hint="eastAsia" w:ascii="仿宋_GB2312" w:hAnsi="仿宋_GB2312" w:eastAsia="仿宋_GB2312" w:cs="仿宋_GB2312"/>
          <w:kern w:val="0"/>
          <w:sz w:val="32"/>
          <w:szCs w:val="32"/>
          <w:highlight w:val="none"/>
          <w:lang w:val="en-US" w:eastAsia="zh-CN"/>
        </w:rPr>
        <w:t>66.73</w:t>
      </w:r>
      <w:r>
        <w:rPr>
          <w:rFonts w:hint="eastAsia" w:ascii="仿宋_GB2312" w:hAnsi="仿宋_GB2312" w:eastAsia="仿宋_GB2312" w:cs="仿宋_GB2312"/>
          <w:kern w:val="0"/>
          <w:sz w:val="32"/>
          <w:szCs w:val="32"/>
          <w:highlight w:val="none"/>
        </w:rPr>
        <w:t>%。决算数与年初预算数的差异原因：</w:t>
      </w:r>
      <w:r>
        <w:rPr>
          <w:rFonts w:hint="eastAsia" w:ascii="仿宋_GB2312" w:hAnsi="仿宋_GB2312" w:eastAsia="仿宋_GB2312" w:cs="仿宋_GB2312"/>
          <w:kern w:val="0"/>
          <w:sz w:val="32"/>
          <w:szCs w:val="32"/>
          <w:lang w:val="en-US" w:eastAsia="zh-CN"/>
        </w:rPr>
        <w:t xml:space="preserve">科研项目资金一次性下达，但执行期为 </w:t>
      </w:r>
      <w:r>
        <w:rPr>
          <w:rFonts w:hint="default" w:ascii="仿宋_GB2312" w:hAnsi="仿宋_GB2312" w:eastAsia="仿宋_GB2312" w:cs="仿宋_GB2312"/>
          <w:kern w:val="0"/>
          <w:sz w:val="32"/>
          <w:szCs w:val="32"/>
          <w:lang w:val="en-US" w:eastAsia="zh-CN"/>
        </w:rPr>
        <w:t xml:space="preserve">3-5 </w:t>
      </w:r>
      <w:r>
        <w:rPr>
          <w:rFonts w:hint="eastAsia" w:ascii="仿宋_GB2312" w:hAnsi="仿宋_GB2312" w:eastAsia="仿宋_GB2312" w:cs="仿宋_GB2312"/>
          <w:kern w:val="0"/>
          <w:sz w:val="32"/>
          <w:szCs w:val="32"/>
          <w:lang w:val="en-US" w:eastAsia="zh-CN"/>
        </w:rPr>
        <w:t>年。</w:t>
      </w:r>
    </w:p>
    <w:p w14:paraId="59737819">
      <w:pPr>
        <w:keepNext w:val="0"/>
        <w:keepLines w:val="0"/>
        <w:pageBreakBefore w:val="0"/>
        <w:widowControl/>
        <w:numPr>
          <w:ilvl w:val="0"/>
          <w:numId w:val="1"/>
        </w:numPr>
        <w:suppressLineNumbers w:val="0"/>
        <w:wordWrap/>
        <w:overflowPunct/>
        <w:topLinePunct w:val="0"/>
        <w:bidi w:val="0"/>
        <w:spacing w:beforeAutospacing="0" w:afterAutospacing="0" w:line="560" w:lineRule="atLeast"/>
        <w:ind w:left="0" w:leftChars="0" w:right="0" w:firstLine="640" w:firstLineChars="200"/>
        <w:jc w:val="both"/>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社会保障和就业支出（类）</w:t>
      </w:r>
    </w:p>
    <w:p w14:paraId="7232D13E">
      <w:pPr>
        <w:keepNext w:val="0"/>
        <w:keepLines w:val="0"/>
        <w:pageBreakBefore w:val="0"/>
        <w:widowControl/>
        <w:numPr>
          <w:ilvl w:val="0"/>
          <w:numId w:val="0"/>
        </w:numPr>
        <w:suppressLineNumbers w:val="0"/>
        <w:wordWrap/>
        <w:overflowPunct/>
        <w:topLinePunct w:val="0"/>
        <w:bidi w:val="0"/>
        <w:spacing w:beforeAutospacing="0" w:afterAutospacing="0" w:line="560" w:lineRule="atLeast"/>
        <w:ind w:right="0" w:rightChars="0" w:firstLine="640" w:firstLineChars="200"/>
        <w:jc w:val="both"/>
        <w:rPr>
          <w:rFonts w:hint="eastAsia" w:ascii="楷体_GB2312" w:hAnsi="楷体_GB2312" w:eastAsia="楷体_GB2312" w:cs="楷体_GB2312"/>
          <w:b w:val="0"/>
          <w:bCs w:val="0"/>
          <w:kern w:val="0"/>
          <w:sz w:val="32"/>
          <w:szCs w:val="32"/>
        </w:rPr>
      </w:pPr>
      <w:r>
        <w:rPr>
          <w:rFonts w:hint="eastAsia" w:ascii="仿宋_GB2312" w:hAnsi="仿宋_GB2312" w:eastAsia="仿宋_GB2312" w:cs="仿宋_GB2312"/>
          <w:kern w:val="0"/>
          <w:sz w:val="32"/>
          <w:szCs w:val="32"/>
        </w:rPr>
        <w:t>社会保障和就业支出类决算数为</w:t>
      </w:r>
      <w:r>
        <w:rPr>
          <w:rFonts w:hint="eastAsia" w:ascii="仿宋_GB2312" w:hAnsi="仿宋_GB2312" w:eastAsia="仿宋_GB2312" w:cs="仿宋_GB2312"/>
          <w:kern w:val="0"/>
          <w:sz w:val="32"/>
          <w:szCs w:val="32"/>
          <w:lang w:val="en-US" w:eastAsia="zh-CN"/>
        </w:rPr>
        <w:t>675.29</w:t>
      </w:r>
      <w:r>
        <w:rPr>
          <w:rFonts w:hint="eastAsia" w:ascii="仿宋_GB2312" w:hAnsi="仿宋_GB2312" w:eastAsia="仿宋_GB2312" w:cs="仿宋_GB2312"/>
          <w:kern w:val="0"/>
          <w:sz w:val="32"/>
          <w:szCs w:val="32"/>
        </w:rPr>
        <w:t>万元，与年初预算</w:t>
      </w:r>
    </w:p>
    <w:p w14:paraId="27B21809">
      <w:pPr>
        <w:keepNext w:val="0"/>
        <w:keepLines w:val="0"/>
        <w:pageBreakBefore w:val="0"/>
        <w:widowControl/>
        <w:suppressLineNumbers w:val="0"/>
        <w:wordWrap/>
        <w:overflowPunct/>
        <w:topLinePunct w:val="0"/>
        <w:bidi w:val="0"/>
        <w:spacing w:beforeAutospacing="0" w:afterAutospacing="0" w:line="560" w:lineRule="atLeast"/>
        <w:ind w:right="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相比增加</w:t>
      </w:r>
      <w:r>
        <w:rPr>
          <w:rFonts w:hint="eastAsia" w:ascii="仿宋_GB2312" w:hAnsi="仿宋_GB2312" w:eastAsia="仿宋_GB2312" w:cs="仿宋_GB2312"/>
          <w:kern w:val="0"/>
          <w:sz w:val="32"/>
          <w:szCs w:val="32"/>
          <w:lang w:val="en-US" w:eastAsia="zh-CN"/>
        </w:rPr>
        <w:t>70.37</w:t>
      </w:r>
      <w:r>
        <w:rPr>
          <w:rFonts w:hint="eastAsia" w:ascii="仿宋_GB2312" w:hAnsi="仿宋_GB2312" w:eastAsia="仿宋_GB2312" w:cs="仿宋_GB2312"/>
          <w:kern w:val="0"/>
          <w:sz w:val="32"/>
          <w:szCs w:val="32"/>
        </w:rPr>
        <w:t>万元。其中：</w:t>
      </w:r>
    </w:p>
    <w:p w14:paraId="35B86460">
      <w:pPr>
        <w:keepNext w:val="0"/>
        <w:keepLines w:val="0"/>
        <w:pageBreakBefore w:val="0"/>
        <w:widowControl/>
        <w:suppressLineNumbers w:val="0"/>
        <w:wordWrap/>
        <w:overflowPunct/>
        <w:topLinePunct w:val="0"/>
        <w:bidi w:val="0"/>
        <w:spacing w:beforeAutospacing="0" w:afterAutospacing="0" w:line="560" w:lineRule="atLeast"/>
        <w:ind w:right="0" w:firstLine="640" w:firstLineChars="200"/>
        <w:jc w:val="both"/>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行政事业单位养老支出（款）事业单位离退休（项）。年初预算</w:t>
      </w:r>
      <w:r>
        <w:rPr>
          <w:rFonts w:hint="eastAsia" w:ascii="仿宋_GB2312" w:hAnsi="仿宋_GB2312" w:eastAsia="仿宋_GB2312" w:cs="仿宋_GB2312"/>
          <w:kern w:val="0"/>
          <w:sz w:val="32"/>
          <w:szCs w:val="32"/>
          <w:lang w:val="en-US" w:eastAsia="zh-CN"/>
        </w:rPr>
        <w:t>211.04</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201.45</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95.46</w:t>
      </w:r>
      <w:r>
        <w:rPr>
          <w:rFonts w:hint="eastAsia" w:ascii="仿宋_GB2312" w:hAnsi="仿宋_GB2312" w:eastAsia="仿宋_GB2312" w:cs="仿宋_GB2312"/>
          <w:kern w:val="0"/>
          <w:sz w:val="32"/>
          <w:szCs w:val="32"/>
        </w:rPr>
        <w:t>%。决算数与年初预算数的差异原因：</w:t>
      </w:r>
      <w:bookmarkStart w:id="26" w:name="OLE_LINK5"/>
      <w:r>
        <w:rPr>
          <w:rFonts w:hint="eastAsia" w:ascii="仿宋_GB2312" w:hAnsi="仿宋_GB2312" w:eastAsia="仿宋_GB2312" w:cs="仿宋_GB2312"/>
          <w:kern w:val="0"/>
          <w:sz w:val="32"/>
          <w:szCs w:val="32"/>
          <w:lang w:eastAsia="zh-CN"/>
        </w:rPr>
        <w:t>本年退休人员有</w:t>
      </w:r>
      <w:r>
        <w:rPr>
          <w:rFonts w:hint="eastAsia" w:ascii="仿宋_GB2312" w:hAnsi="仿宋_GB2312" w:eastAsia="仿宋_GB2312" w:cs="仿宋_GB2312"/>
          <w:kern w:val="0"/>
          <w:sz w:val="32"/>
          <w:szCs w:val="32"/>
          <w:lang w:val="en-US" w:eastAsia="zh-CN"/>
        </w:rPr>
        <w:t>4人年中去世，导致退休费支出决算较年初预算减少。</w:t>
      </w:r>
      <w:bookmarkEnd w:id="26"/>
    </w:p>
    <w:p w14:paraId="6BFFCAFA">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行政事业单位养老支出（款）</w:t>
      </w:r>
      <w:bookmarkStart w:id="27" w:name="OLE_LINK4"/>
      <w:r>
        <w:rPr>
          <w:rFonts w:hint="eastAsia" w:ascii="仿宋_GB2312" w:hAnsi="仿宋_GB2312" w:eastAsia="仿宋_GB2312" w:cs="仿宋_GB2312"/>
          <w:kern w:val="0"/>
          <w:sz w:val="32"/>
          <w:szCs w:val="32"/>
        </w:rPr>
        <w:t>机关事业单位基本养老保险</w:t>
      </w:r>
      <w:bookmarkEnd w:id="27"/>
      <w:r>
        <w:rPr>
          <w:rFonts w:hint="eastAsia" w:ascii="仿宋_GB2312" w:hAnsi="仿宋_GB2312" w:eastAsia="仿宋_GB2312" w:cs="仿宋_GB2312"/>
          <w:kern w:val="0"/>
          <w:sz w:val="32"/>
          <w:szCs w:val="32"/>
        </w:rPr>
        <w:t>缴费支出（项）。年初预算</w:t>
      </w:r>
      <w:r>
        <w:rPr>
          <w:rFonts w:hint="eastAsia" w:ascii="仿宋_GB2312" w:hAnsi="仿宋_GB2312" w:eastAsia="仿宋_GB2312" w:cs="仿宋_GB2312"/>
          <w:kern w:val="0"/>
          <w:sz w:val="32"/>
          <w:szCs w:val="32"/>
          <w:lang w:val="en-US" w:eastAsia="zh-CN"/>
        </w:rPr>
        <w:t>297.93</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305.31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102.48</w:t>
      </w:r>
      <w:r>
        <w:rPr>
          <w:rFonts w:hint="eastAsia" w:ascii="仿宋_GB2312" w:hAnsi="仿宋_GB2312" w:eastAsia="仿宋_GB2312" w:cs="仿宋_GB2312"/>
          <w:kern w:val="0"/>
          <w:sz w:val="32"/>
          <w:szCs w:val="32"/>
        </w:rPr>
        <w:t>%。决算数与年初预算数的差异原因：</w:t>
      </w:r>
      <w:bookmarkStart w:id="28" w:name="OLE_LINK7"/>
      <w:r>
        <w:rPr>
          <w:rFonts w:hint="eastAsia" w:ascii="仿宋_GB2312" w:hAnsi="仿宋_GB2312" w:eastAsia="仿宋_GB2312" w:cs="仿宋_GB2312"/>
          <w:kern w:val="0"/>
          <w:sz w:val="32"/>
          <w:szCs w:val="32"/>
          <w:lang w:val="en-US" w:eastAsia="zh-CN"/>
        </w:rPr>
        <w:t>2022年末新入职的19名职工的人员经费未列入2023年预算，导致2023年</w:t>
      </w:r>
      <w:bookmarkEnd w:id="28"/>
      <w:r>
        <w:rPr>
          <w:rFonts w:hint="eastAsia" w:ascii="仿宋_GB2312" w:hAnsi="仿宋_GB2312" w:eastAsia="仿宋_GB2312" w:cs="仿宋_GB2312"/>
          <w:kern w:val="0"/>
          <w:sz w:val="32"/>
          <w:szCs w:val="32"/>
        </w:rPr>
        <w:t>机关事业单位基本养老保险</w:t>
      </w:r>
      <w:r>
        <w:rPr>
          <w:rFonts w:hint="eastAsia" w:ascii="仿宋_GB2312" w:hAnsi="仿宋_GB2312" w:eastAsia="仿宋_GB2312" w:cs="仿宋_GB2312"/>
          <w:kern w:val="0"/>
          <w:sz w:val="32"/>
          <w:szCs w:val="32"/>
          <w:lang w:eastAsia="zh-CN"/>
        </w:rPr>
        <w:t>经费不足，在</w:t>
      </w:r>
      <w:r>
        <w:rPr>
          <w:rFonts w:hint="eastAsia" w:ascii="仿宋_GB2312" w:hAnsi="仿宋_GB2312" w:eastAsia="仿宋_GB2312" w:cs="仿宋_GB2312"/>
          <w:kern w:val="0"/>
          <w:sz w:val="32"/>
          <w:szCs w:val="32"/>
          <w:lang w:val="en-US" w:eastAsia="zh-CN"/>
        </w:rPr>
        <w:t>2023年追加了该经费。</w:t>
      </w:r>
    </w:p>
    <w:p w14:paraId="5CAAB787">
      <w:pPr>
        <w:numPr>
          <w:ilvl w:val="0"/>
          <w:numId w:val="2"/>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行政事业单位养老支出（款）机关事业单位职业年金缴费支出（项）。年初预算</w:t>
      </w:r>
      <w:r>
        <w:rPr>
          <w:rFonts w:hint="eastAsia" w:ascii="仿宋_GB2312" w:hAnsi="仿宋_GB2312" w:eastAsia="仿宋_GB2312" w:cs="仿宋_GB2312"/>
          <w:kern w:val="0"/>
          <w:sz w:val="32"/>
          <w:szCs w:val="32"/>
          <w:lang w:val="en-US" w:eastAsia="zh-CN"/>
        </w:rPr>
        <w:t>68.95</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64.27</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93.21</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eastAsia="zh-CN"/>
        </w:rPr>
        <w:t>有三名职工于</w:t>
      </w:r>
      <w:r>
        <w:rPr>
          <w:rFonts w:hint="eastAsia" w:ascii="仿宋_GB2312" w:eastAsia="仿宋_GB2312"/>
          <w:sz w:val="32"/>
          <w:szCs w:val="32"/>
          <w:lang w:val="en-US" w:eastAsia="zh-CN"/>
        </w:rPr>
        <w:t>2023年年底退休，导致三人职业年金做实业务没能在退休当年办理完成，从而职业年金做实无法在当年缴纳；</w:t>
      </w:r>
    </w:p>
    <w:p w14:paraId="5B4D31AE">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rPr>
        <w:t>.抚恤（款）死亡抚恤（项）。</w:t>
      </w:r>
      <w:bookmarkStart w:id="29" w:name="OLE_LINK6"/>
      <w:r>
        <w:rPr>
          <w:rFonts w:hint="eastAsia" w:ascii="仿宋_GB2312" w:hAnsi="仿宋_GB2312" w:eastAsia="仿宋_GB2312" w:cs="仿宋_GB2312"/>
          <w:kern w:val="0"/>
          <w:sz w:val="32"/>
          <w:szCs w:val="32"/>
        </w:rPr>
        <w:t>年初预算0万元，决算支出</w:t>
      </w:r>
      <w:r>
        <w:rPr>
          <w:rFonts w:hint="eastAsia" w:ascii="仿宋_GB2312" w:hAnsi="仿宋_GB2312" w:eastAsia="仿宋_GB2312" w:cs="仿宋_GB2312"/>
          <w:kern w:val="0"/>
          <w:sz w:val="32"/>
          <w:szCs w:val="32"/>
          <w:highlight w:val="none"/>
          <w:lang w:val="en-US" w:eastAsia="zh-CN"/>
        </w:rPr>
        <w:t>77.33</w:t>
      </w:r>
      <w:r>
        <w:rPr>
          <w:rFonts w:hint="eastAsia" w:ascii="仿宋_GB2312" w:hAnsi="仿宋_GB2312" w:eastAsia="仿宋_GB2312" w:cs="仿宋_GB2312"/>
          <w:kern w:val="0"/>
          <w:sz w:val="32"/>
          <w:szCs w:val="32"/>
          <w:highlight w:val="none"/>
        </w:rPr>
        <w:t>万元，完成预算的100%。决算数与年初预算数的差异原因：按照预算编制要求，死亡抚恤在年初预算不作安排，预算执行中根据实际需要追加</w:t>
      </w:r>
      <w:r>
        <w:rPr>
          <w:rFonts w:hint="eastAsia" w:ascii="仿宋_GB2312" w:hAnsi="仿宋_GB2312" w:eastAsia="仿宋_GB2312" w:cs="仿宋_GB2312"/>
          <w:kern w:val="0"/>
          <w:sz w:val="32"/>
          <w:szCs w:val="32"/>
          <w:highlight w:val="none"/>
          <w:lang w:eastAsia="zh-CN"/>
        </w:rPr>
        <w:t>，本年年中追加了四位退休人员的抚恤金共计</w:t>
      </w:r>
      <w:r>
        <w:rPr>
          <w:rFonts w:hint="eastAsia" w:ascii="仿宋_GB2312" w:hAnsi="仿宋_GB2312" w:eastAsia="仿宋_GB2312" w:cs="仿宋_GB2312"/>
          <w:kern w:val="0"/>
          <w:sz w:val="32"/>
          <w:szCs w:val="32"/>
          <w:highlight w:val="none"/>
          <w:lang w:val="en-US" w:eastAsia="zh-CN"/>
        </w:rPr>
        <w:t>77.33万元。</w:t>
      </w:r>
    </w:p>
    <w:bookmarkEnd w:id="29"/>
    <w:p w14:paraId="68152781">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.其他社会保障和就业支出（款）其他社会保障和就业支出（项）。年初预算</w:t>
      </w:r>
      <w:r>
        <w:rPr>
          <w:rFonts w:hint="eastAsia" w:ascii="仿宋_GB2312" w:hAnsi="仿宋_GB2312" w:eastAsia="仿宋_GB2312" w:cs="仿宋_GB2312"/>
          <w:kern w:val="0"/>
          <w:sz w:val="32"/>
          <w:szCs w:val="32"/>
          <w:lang w:val="en-US" w:eastAsia="zh-CN"/>
        </w:rPr>
        <w:t>27.00</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26.94</w:t>
      </w:r>
      <w:r>
        <w:rPr>
          <w:rFonts w:hint="eastAsia" w:ascii="仿宋_GB2312" w:hAnsi="仿宋_GB2312" w:eastAsia="仿宋_GB2312" w:cs="仿宋_GB2312"/>
          <w:kern w:val="0"/>
          <w:sz w:val="32"/>
          <w:szCs w:val="32"/>
        </w:rPr>
        <w:t>万元，完成年初预算的9</w:t>
      </w:r>
      <w:r>
        <w:rPr>
          <w:rFonts w:hint="eastAsia" w:ascii="仿宋_GB2312" w:hAnsi="仿宋_GB2312" w:eastAsia="仿宋_GB2312" w:cs="仿宋_GB2312"/>
          <w:kern w:val="0"/>
          <w:sz w:val="32"/>
          <w:szCs w:val="32"/>
          <w:lang w:val="en-US" w:eastAsia="zh-CN"/>
        </w:rPr>
        <w:t>9.78</w:t>
      </w:r>
      <w:r>
        <w:rPr>
          <w:rFonts w:hint="eastAsia" w:ascii="仿宋_GB2312" w:hAnsi="仿宋_GB2312" w:eastAsia="仿宋_GB2312" w:cs="仿宋_GB2312"/>
          <w:kern w:val="0"/>
          <w:sz w:val="32"/>
          <w:szCs w:val="32"/>
        </w:rPr>
        <w:t>%。决算数与年初预算数的差异原因：</w:t>
      </w:r>
      <w:bookmarkStart w:id="30" w:name="OLE_LINK12"/>
      <w:r>
        <w:rPr>
          <w:rFonts w:hint="eastAsia" w:ascii="仿宋_GB2312" w:hAnsi="仿宋_GB2312" w:eastAsia="仿宋_GB2312" w:cs="仿宋_GB2312"/>
          <w:kern w:val="0"/>
          <w:sz w:val="32"/>
          <w:szCs w:val="32"/>
          <w:lang w:eastAsia="zh-CN"/>
        </w:rPr>
        <w:t>支出决算</w:t>
      </w:r>
      <w:r>
        <w:rPr>
          <w:rFonts w:hint="eastAsia" w:ascii="仿宋_GB2312" w:hAnsi="仿宋_GB2312" w:eastAsia="仿宋_GB2312" w:cs="仿宋_GB2312"/>
          <w:kern w:val="0"/>
          <w:sz w:val="32"/>
          <w:szCs w:val="32"/>
          <w:highlight w:val="none"/>
        </w:rPr>
        <w:t>基本与年初预算数持平。</w:t>
      </w:r>
      <w:bookmarkEnd w:id="30"/>
      <w:r>
        <w:rPr>
          <w:rFonts w:hint="eastAsia" w:ascii="仿宋_GB2312" w:hAnsi="仿宋_GB2312" w:eastAsia="仿宋_GB2312" w:cs="仿宋_GB2312"/>
          <w:kern w:val="0"/>
          <w:sz w:val="32"/>
          <w:szCs w:val="32"/>
          <w:highlight w:val="none"/>
          <w:lang w:val="en-US" w:eastAsia="zh-CN"/>
        </w:rPr>
        <w:t xml:space="preserve">               </w:t>
      </w:r>
    </w:p>
    <w:p w14:paraId="76C8B25F">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eastAsia" w:ascii="楷体_GB2312" w:hAnsi="楷体_GB2312" w:eastAsia="楷体_GB2312" w:cs="楷体_GB2312"/>
          <w:b w:val="0"/>
          <w:bCs w:val="0"/>
          <w:kern w:val="0"/>
          <w:sz w:val="32"/>
          <w:szCs w:val="32"/>
          <w:u w:val="none"/>
        </w:rPr>
      </w:pPr>
      <w:r>
        <w:rPr>
          <w:rFonts w:hint="eastAsia" w:ascii="楷体_GB2312" w:hAnsi="楷体_GB2312" w:eastAsia="楷体_GB2312" w:cs="楷体_GB2312"/>
          <w:b w:val="0"/>
          <w:bCs w:val="0"/>
          <w:kern w:val="0"/>
          <w:sz w:val="32"/>
          <w:szCs w:val="32"/>
          <w:u w:val="none"/>
          <w:lang w:val="en-US" w:eastAsia="zh-CN"/>
        </w:rPr>
        <w:t>（三）</w:t>
      </w:r>
      <w:r>
        <w:rPr>
          <w:rFonts w:hint="eastAsia" w:ascii="楷体_GB2312" w:hAnsi="楷体_GB2312" w:eastAsia="楷体_GB2312" w:cs="楷体_GB2312"/>
          <w:b w:val="0"/>
          <w:bCs w:val="0"/>
          <w:kern w:val="0"/>
          <w:sz w:val="32"/>
          <w:szCs w:val="32"/>
          <w:u w:val="none"/>
        </w:rPr>
        <w:t>卫生健康支出（类）</w:t>
      </w:r>
    </w:p>
    <w:p w14:paraId="13872441">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卫生健康支出类决算数为 8,290.55万元，与年初预算相比增加3,224.83万元。其中：</w:t>
      </w:r>
    </w:p>
    <w:p w14:paraId="4D7E12D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1.卫生健康管理事务（款）其他卫生健康管理事务支出（项）。</w:t>
      </w:r>
      <w:r>
        <w:rPr>
          <w:rFonts w:hint="eastAsia" w:ascii="仿宋_GB2312" w:hAnsi="仿宋_GB2312" w:eastAsia="仿宋_GB2312" w:cs="仿宋_GB2312"/>
          <w:kern w:val="0"/>
          <w:sz w:val="32"/>
          <w:szCs w:val="32"/>
          <w:u w:val="none"/>
        </w:rPr>
        <w:t>年初预算</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0万元，决算支出</w:t>
      </w:r>
      <w:r>
        <w:rPr>
          <w:rFonts w:hint="eastAsia" w:ascii="仿宋_GB2312" w:hAnsi="仿宋_GB2312" w:eastAsia="仿宋_GB2312" w:cs="仿宋_GB2312"/>
          <w:kern w:val="0"/>
          <w:sz w:val="32"/>
          <w:szCs w:val="32"/>
          <w:u w:val="none"/>
          <w:lang w:val="en-US" w:eastAsia="zh-CN"/>
        </w:rPr>
        <w:t>30</w:t>
      </w:r>
      <w:r>
        <w:rPr>
          <w:rFonts w:hint="eastAsia" w:ascii="仿宋_GB2312" w:hAnsi="仿宋_GB2312" w:eastAsia="仿宋_GB2312" w:cs="仿宋_GB2312"/>
          <w:kern w:val="0"/>
          <w:sz w:val="32"/>
          <w:szCs w:val="32"/>
          <w:u w:val="none"/>
        </w:rPr>
        <w:t>万元，完成预算的100%。</w:t>
      </w:r>
      <w:r>
        <w:rPr>
          <w:rFonts w:hint="eastAsia" w:ascii="仿宋_GB2312" w:hAnsi="仿宋_GB2312" w:eastAsia="仿宋_GB2312" w:cs="仿宋_GB2312"/>
          <w:kern w:val="0"/>
          <w:sz w:val="32"/>
          <w:szCs w:val="32"/>
          <w:u w:val="none"/>
          <w:lang w:val="en-US" w:eastAsia="zh-CN"/>
        </w:rPr>
        <w:t>决算数与年初预算数不存在差异。</w:t>
      </w:r>
    </w:p>
    <w:p w14:paraId="4A52684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2.公立医院</w:t>
      </w:r>
      <w:r>
        <w:rPr>
          <w:rFonts w:hint="eastAsia" w:ascii="仿宋_GB2312" w:hAnsi="仿宋_GB2312" w:eastAsia="仿宋_GB2312" w:cs="仿宋_GB2312"/>
          <w:kern w:val="0"/>
          <w:sz w:val="32"/>
          <w:szCs w:val="32"/>
          <w:u w:val="none"/>
        </w:rPr>
        <w:t>（款）其他公立医院支出（项）。年初预算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3.81</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%。决算数与年初预算数的差异原因：</w:t>
      </w:r>
      <w:r>
        <w:rPr>
          <w:rFonts w:hint="eastAsia" w:ascii="仿宋_GB2312" w:hAnsi="仿宋_GB2312" w:eastAsia="仿宋_GB2312" w:cs="仿宋_GB2312"/>
          <w:kern w:val="0"/>
          <w:sz w:val="32"/>
          <w:szCs w:val="32"/>
          <w:u w:val="none"/>
          <w:lang w:eastAsia="zh-CN"/>
        </w:rPr>
        <w:t>本项为年中追加资金</w:t>
      </w:r>
      <w:r>
        <w:rPr>
          <w:rFonts w:hint="eastAsia" w:ascii="仿宋_GB2312" w:hAnsi="仿宋_GB2312" w:eastAsia="仿宋_GB2312" w:cs="仿宋_GB2312"/>
          <w:kern w:val="0"/>
          <w:sz w:val="32"/>
          <w:szCs w:val="32"/>
          <w:u w:val="none"/>
        </w:rPr>
        <w:t>。</w:t>
      </w:r>
    </w:p>
    <w:p w14:paraId="4C8DB901">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lang w:val="en-US" w:eastAsia="zh-CN"/>
        </w:rPr>
      </w:pPr>
      <w:bookmarkStart w:id="31" w:name="OLE_LINK8"/>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lang w:eastAsia="zh-CN"/>
        </w:rPr>
        <w:t>公共卫生</w:t>
      </w:r>
      <w:r>
        <w:rPr>
          <w:rFonts w:hint="eastAsia" w:ascii="仿宋_GB2312" w:hAnsi="仿宋_GB2312" w:eastAsia="仿宋_GB2312" w:cs="仿宋_GB2312"/>
          <w:kern w:val="0"/>
          <w:sz w:val="32"/>
          <w:szCs w:val="32"/>
          <w:u w:val="none"/>
        </w:rPr>
        <w:t>（款）疾病预防控制机构（项）。年初预算</w:t>
      </w:r>
      <w:r>
        <w:rPr>
          <w:rFonts w:hint="eastAsia" w:ascii="仿宋_GB2312" w:hAnsi="仿宋_GB2312" w:eastAsia="仿宋_GB2312" w:cs="仿宋_GB2312"/>
          <w:kern w:val="0"/>
          <w:sz w:val="32"/>
          <w:szCs w:val="32"/>
          <w:u w:val="none"/>
          <w:lang w:val="en-US" w:eastAsia="zh-CN"/>
        </w:rPr>
        <w:t>3543.91</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6092.69</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171.92</w:t>
      </w:r>
      <w:r>
        <w:rPr>
          <w:rFonts w:hint="eastAsia" w:ascii="仿宋_GB2312" w:hAnsi="仿宋_GB2312" w:eastAsia="仿宋_GB2312" w:cs="仿宋_GB2312"/>
          <w:kern w:val="0"/>
          <w:sz w:val="32"/>
          <w:szCs w:val="32"/>
          <w:u w:val="none"/>
        </w:rPr>
        <w:t>%。决算数与年初预算数的差异原因：</w:t>
      </w:r>
      <w:r>
        <w:rPr>
          <w:rFonts w:hint="eastAsia" w:ascii="仿宋_GB2312" w:hAnsi="仿宋_GB2312" w:eastAsia="仿宋_GB2312" w:cs="仿宋_GB2312"/>
          <w:kern w:val="0"/>
          <w:sz w:val="32"/>
          <w:szCs w:val="32"/>
          <w:u w:val="none"/>
          <w:lang w:eastAsia="zh-CN"/>
        </w:rPr>
        <w:t>一是</w:t>
      </w:r>
      <w:bookmarkStart w:id="32" w:name="OLE_LINK11"/>
      <w:r>
        <w:rPr>
          <w:rFonts w:hint="eastAsia" w:ascii="仿宋_GB2312" w:hAnsi="仿宋_GB2312" w:eastAsia="仿宋_GB2312" w:cs="仿宋_GB2312"/>
          <w:kern w:val="0"/>
          <w:sz w:val="32"/>
          <w:szCs w:val="32"/>
          <w:u w:val="none"/>
          <w:lang w:val="en-US" w:eastAsia="zh-CN"/>
        </w:rPr>
        <w:t>2022年末新入职的19名职工的人员经费未列入2023年预算，导致2023年人员经费不足，年中追加人员经费</w:t>
      </w:r>
      <w:bookmarkEnd w:id="32"/>
      <w:r>
        <w:rPr>
          <w:rFonts w:hint="eastAsia" w:ascii="仿宋_GB2312" w:hAnsi="仿宋_GB2312" w:eastAsia="仿宋_GB2312" w:cs="仿宋_GB2312"/>
          <w:kern w:val="0"/>
          <w:sz w:val="32"/>
          <w:szCs w:val="32"/>
          <w:highlight w:val="none"/>
          <w:u w:val="none"/>
          <w:lang w:val="en-US" w:eastAsia="zh-CN"/>
        </w:rPr>
        <w:t>；</w:t>
      </w:r>
      <w:bookmarkEnd w:id="31"/>
      <w:r>
        <w:rPr>
          <w:rFonts w:hint="eastAsia" w:ascii="仿宋_GB2312" w:hAnsi="仿宋_GB2312" w:eastAsia="仿宋_GB2312" w:cs="仿宋_GB2312"/>
          <w:b w:val="0"/>
          <w:bCs w:val="0"/>
          <w:kern w:val="0"/>
          <w:sz w:val="32"/>
          <w:szCs w:val="32"/>
          <w:highlight w:val="none"/>
          <w:u w:val="none"/>
        </w:rPr>
        <w:t>二是</w:t>
      </w:r>
      <w:r>
        <w:rPr>
          <w:rFonts w:hint="eastAsia" w:ascii="仿宋_GB2312" w:hAnsi="仿宋_GB2312" w:eastAsia="仿宋_GB2312" w:cs="仿宋_GB2312"/>
          <w:b w:val="0"/>
          <w:bCs w:val="0"/>
          <w:kern w:val="0"/>
          <w:sz w:val="32"/>
          <w:szCs w:val="32"/>
          <w:highlight w:val="none"/>
          <w:u w:val="none"/>
          <w:lang w:eastAsia="zh-CN"/>
        </w:rPr>
        <w:t>由于新建实验楼建设完成，年中追加</w:t>
      </w:r>
      <w:r>
        <w:rPr>
          <w:rFonts w:hint="eastAsia" w:ascii="仿宋_GB2312" w:hAnsi="仿宋_GB2312" w:eastAsia="仿宋_GB2312" w:cs="仿宋_GB2312"/>
          <w:kern w:val="0"/>
          <w:sz w:val="32"/>
          <w:szCs w:val="32"/>
          <w:u w:val="none"/>
          <w:lang w:val="en-US" w:eastAsia="zh-CN"/>
        </w:rPr>
        <w:t>2023年新建实验楼（3-6层）购置设备经费2218.03万元。</w:t>
      </w:r>
    </w:p>
    <w:p w14:paraId="61AFDFAF">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lang w:eastAsia="zh-CN"/>
        </w:rPr>
        <w:t>公共卫生</w:t>
      </w:r>
      <w:r>
        <w:rPr>
          <w:rFonts w:hint="eastAsia" w:ascii="仿宋_GB2312" w:hAnsi="仿宋_GB2312" w:eastAsia="仿宋_GB2312" w:cs="仿宋_GB2312"/>
          <w:kern w:val="0"/>
          <w:sz w:val="32"/>
          <w:szCs w:val="32"/>
          <w:u w:val="none"/>
        </w:rPr>
        <w:t>（款）</w:t>
      </w:r>
      <w:r>
        <w:rPr>
          <w:rFonts w:hint="eastAsia" w:ascii="仿宋_GB2312" w:hAnsi="仿宋_GB2312" w:eastAsia="仿宋_GB2312" w:cs="仿宋_GB2312"/>
          <w:sz w:val="32"/>
          <w:szCs w:val="32"/>
          <w:u w:val="none"/>
        </w:rPr>
        <w:t>基本公共卫生服务</w:t>
      </w:r>
      <w:r>
        <w:rPr>
          <w:rFonts w:hint="eastAsia" w:ascii="仿宋_GB2312" w:hAnsi="仿宋_GB2312" w:eastAsia="仿宋_GB2312" w:cs="仿宋_GB2312"/>
          <w:kern w:val="0"/>
          <w:sz w:val="32"/>
          <w:szCs w:val="32"/>
          <w:u w:val="none"/>
        </w:rPr>
        <w:t>（项）。年初预算</w:t>
      </w:r>
      <w:r>
        <w:rPr>
          <w:rFonts w:hint="eastAsia" w:ascii="仿宋_GB2312" w:hAnsi="仿宋_GB2312" w:eastAsia="仿宋_GB2312" w:cs="仿宋_GB2312"/>
          <w:kern w:val="0"/>
          <w:sz w:val="32"/>
          <w:szCs w:val="32"/>
          <w:u w:val="none"/>
          <w:lang w:val="en-US" w:eastAsia="zh-CN"/>
        </w:rPr>
        <w:t>101.92</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147.95</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145.16</w:t>
      </w:r>
      <w:r>
        <w:rPr>
          <w:rFonts w:hint="eastAsia" w:ascii="仿宋_GB2312" w:hAnsi="仿宋_GB2312" w:eastAsia="仿宋_GB2312" w:cs="仿宋_GB2312"/>
          <w:kern w:val="0"/>
          <w:sz w:val="32"/>
          <w:szCs w:val="32"/>
          <w:u w:val="none"/>
        </w:rPr>
        <w:t>%。决算数</w:t>
      </w:r>
    </w:p>
    <w:p w14:paraId="6F033F51">
      <w:pPr>
        <w:keepNext w:val="0"/>
        <w:keepLines w:val="0"/>
        <w:pageBreakBefore w:val="0"/>
        <w:widowControl/>
        <w:numPr>
          <w:ilvl w:val="0"/>
          <w:numId w:val="0"/>
        </w:numPr>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与年初预算数的差异原因：</w:t>
      </w:r>
      <w:r>
        <w:rPr>
          <w:rFonts w:hint="eastAsia" w:ascii="仿宋_GB2312" w:hAnsi="仿宋_GB2312" w:eastAsia="仿宋_GB2312" w:cs="仿宋_GB2312"/>
          <w:kern w:val="0"/>
          <w:sz w:val="32"/>
          <w:szCs w:val="32"/>
          <w:u w:val="none"/>
          <w:lang w:eastAsia="zh-CN"/>
        </w:rPr>
        <w:t>本年追加</w:t>
      </w:r>
      <w:r>
        <w:rPr>
          <w:rFonts w:hint="eastAsia" w:ascii="仿宋_GB2312" w:hAnsi="仿宋_GB2312" w:eastAsia="仿宋_GB2312" w:cs="仿宋_GB2312"/>
          <w:kern w:val="0"/>
          <w:sz w:val="32"/>
          <w:szCs w:val="32"/>
          <w:highlight w:val="none"/>
          <w:u w:val="none"/>
          <w:lang w:eastAsia="zh-CN"/>
        </w:rPr>
        <w:t>2023年中央基本公共卫生服</w:t>
      </w:r>
    </w:p>
    <w:p w14:paraId="2F88FD31">
      <w:pPr>
        <w:keepNext w:val="0"/>
        <w:keepLines w:val="0"/>
        <w:pageBreakBefore w:val="0"/>
        <w:widowControl/>
        <w:numPr>
          <w:ilvl w:val="0"/>
          <w:numId w:val="0"/>
        </w:numPr>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kern w:val="0"/>
          <w:sz w:val="32"/>
          <w:szCs w:val="32"/>
          <w:highlight w:val="none"/>
          <w:u w:val="none"/>
          <w:lang w:val="en-US"/>
        </w:rPr>
      </w:pPr>
      <w:r>
        <w:rPr>
          <w:rFonts w:hint="eastAsia" w:ascii="仿宋_GB2312" w:hAnsi="仿宋_GB2312" w:eastAsia="仿宋_GB2312" w:cs="仿宋_GB2312"/>
          <w:kern w:val="0"/>
          <w:sz w:val="32"/>
          <w:szCs w:val="32"/>
          <w:highlight w:val="none"/>
          <w:u w:val="none"/>
          <w:lang w:eastAsia="zh-CN"/>
        </w:rPr>
        <w:t>务补助资</w:t>
      </w:r>
      <w:bookmarkStart w:id="33" w:name="OLE_LINK9"/>
      <w:r>
        <w:rPr>
          <w:rFonts w:hint="eastAsia" w:ascii="仿宋_GB2312" w:hAnsi="仿宋_GB2312" w:eastAsia="仿宋_GB2312" w:cs="仿宋_GB2312"/>
          <w:kern w:val="0"/>
          <w:sz w:val="32"/>
          <w:szCs w:val="32"/>
          <w:highlight w:val="none"/>
          <w:u w:val="none"/>
          <w:lang w:eastAsia="zh-CN"/>
        </w:rPr>
        <w:t>助资</w:t>
      </w:r>
      <w:bookmarkEnd w:id="33"/>
      <w:r>
        <w:rPr>
          <w:rFonts w:hint="eastAsia" w:ascii="仿宋_GB2312" w:hAnsi="仿宋_GB2312" w:eastAsia="仿宋_GB2312" w:cs="仿宋_GB2312"/>
          <w:kern w:val="0"/>
          <w:sz w:val="32"/>
          <w:szCs w:val="32"/>
          <w:highlight w:val="none"/>
          <w:u w:val="none"/>
          <w:lang w:eastAsia="zh-CN"/>
        </w:rPr>
        <w:t>金</w:t>
      </w:r>
      <w:r>
        <w:rPr>
          <w:rFonts w:hint="eastAsia" w:ascii="仿宋_GB2312" w:hAnsi="仿宋_GB2312" w:eastAsia="仿宋_GB2312" w:cs="仿宋_GB2312"/>
          <w:kern w:val="0"/>
          <w:sz w:val="32"/>
          <w:szCs w:val="32"/>
          <w:highlight w:val="none"/>
          <w:u w:val="none"/>
          <w:lang w:val="en-US" w:eastAsia="zh-CN"/>
        </w:rPr>
        <w:t>46.02万元，追加2023年自治区基本公共卫生服务补助资金7.59万元，追加2023年中央基本公共卫生服务补助资金（第二批）0.06万元，同时2022年中央财政基本公共卫生服务补助资金（第二批）支出决算数较年初预算数减少7.64万元。</w:t>
      </w:r>
    </w:p>
    <w:p w14:paraId="2B15DDF7">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right="0" w:rightChars="0" w:firstLine="640" w:firstLineChars="200"/>
        <w:jc w:val="both"/>
        <w:textAlignment w:val="auto"/>
        <w:rPr>
          <w:rFonts w:hint="default"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公共卫生（款）重大公共卫生服务（项）</w:t>
      </w:r>
      <w:r>
        <w:rPr>
          <w:rFonts w:hint="eastAsia" w:ascii="仿宋_GB2312" w:hAnsi="仿宋_GB2312" w:eastAsia="仿宋_GB2312" w:cs="仿宋_GB2312"/>
          <w:spacing w:val="20"/>
          <w:kern w:val="0"/>
          <w:sz w:val="32"/>
          <w:szCs w:val="32"/>
          <w:u w:val="none"/>
        </w:rPr>
        <w:t>。</w:t>
      </w:r>
      <w:r>
        <w:rPr>
          <w:rFonts w:hint="eastAsia" w:ascii="仿宋_GB2312" w:hAnsi="仿宋_GB2312" w:eastAsia="仿宋_GB2312" w:cs="仿宋_GB2312"/>
          <w:kern w:val="0"/>
          <w:sz w:val="32"/>
          <w:szCs w:val="32"/>
          <w:u w:val="none"/>
        </w:rPr>
        <w:t>年初预算</w:t>
      </w:r>
      <w:r>
        <w:rPr>
          <w:rFonts w:hint="eastAsia" w:ascii="仿宋_GB2312" w:hAnsi="仿宋_GB2312" w:eastAsia="仿宋_GB2312" w:cs="仿宋_GB2312"/>
          <w:kern w:val="0"/>
          <w:sz w:val="32"/>
          <w:szCs w:val="32"/>
          <w:u w:val="none"/>
          <w:lang w:val="en-US" w:eastAsia="zh-CN"/>
        </w:rPr>
        <w:t>1159.92</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1427.49</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123.07</w:t>
      </w:r>
      <w:r>
        <w:rPr>
          <w:rFonts w:hint="eastAsia" w:ascii="仿宋_GB2312" w:hAnsi="仿宋_GB2312" w:eastAsia="仿宋_GB2312" w:cs="仿宋_GB2312"/>
          <w:kern w:val="0"/>
          <w:sz w:val="32"/>
          <w:szCs w:val="32"/>
          <w:u w:val="none"/>
        </w:rPr>
        <w:t>%。决算数与年初预算数的差异原因</w:t>
      </w:r>
      <w:r>
        <w:rPr>
          <w:rFonts w:hint="eastAsia" w:ascii="仿宋_GB2312" w:hAnsi="仿宋_GB2312" w:eastAsia="仿宋_GB2312" w:cs="仿宋_GB2312"/>
          <w:kern w:val="0"/>
          <w:sz w:val="32"/>
          <w:szCs w:val="32"/>
          <w:highlight w:val="none"/>
          <w:u w:val="none"/>
        </w:rPr>
        <w:t>：</w:t>
      </w:r>
      <w:bookmarkStart w:id="34" w:name="OLE_LINK14"/>
      <w:r>
        <w:rPr>
          <w:rFonts w:hint="eastAsia" w:ascii="仿宋_GB2312" w:hAnsi="仿宋_GB2312" w:eastAsia="仿宋_GB2312" w:cs="仿宋_GB2312"/>
          <w:kern w:val="0"/>
          <w:sz w:val="32"/>
          <w:szCs w:val="32"/>
          <w:highlight w:val="none"/>
          <w:u w:val="none"/>
          <w:lang w:eastAsia="zh-CN"/>
        </w:rPr>
        <w:t>一是本年</w:t>
      </w:r>
      <w:bookmarkStart w:id="35" w:name="OLE_LINK10"/>
      <w:r>
        <w:rPr>
          <w:rFonts w:hint="eastAsia" w:ascii="仿宋_GB2312" w:hAnsi="仿宋_GB2312" w:eastAsia="仿宋_GB2312" w:cs="仿宋_GB2312"/>
          <w:kern w:val="0"/>
          <w:sz w:val="32"/>
          <w:szCs w:val="32"/>
          <w:highlight w:val="none"/>
          <w:u w:val="none"/>
          <w:lang w:eastAsia="zh-CN"/>
        </w:rPr>
        <w:t>增加</w:t>
      </w:r>
      <w:bookmarkEnd w:id="35"/>
      <w:r>
        <w:rPr>
          <w:rFonts w:hint="eastAsia" w:ascii="仿宋_GB2312" w:hAnsi="仿宋_GB2312" w:eastAsia="仿宋_GB2312" w:cs="仿宋_GB2312"/>
          <w:kern w:val="0"/>
          <w:sz w:val="32"/>
          <w:szCs w:val="32"/>
          <w:highlight w:val="none"/>
          <w:u w:val="none"/>
        </w:rPr>
        <w:t>2023年中央重大传染病防控补助资金</w:t>
      </w:r>
      <w:r>
        <w:rPr>
          <w:rFonts w:hint="eastAsia" w:ascii="仿宋_GB2312" w:hAnsi="仿宋_GB2312" w:eastAsia="仿宋_GB2312" w:cs="仿宋_GB2312"/>
          <w:kern w:val="0"/>
          <w:sz w:val="32"/>
          <w:szCs w:val="32"/>
          <w:highlight w:val="none"/>
          <w:u w:val="none"/>
          <w:lang w:eastAsia="zh-CN"/>
        </w:rPr>
        <w:t>项目支出</w:t>
      </w:r>
      <w:r>
        <w:rPr>
          <w:rFonts w:hint="eastAsia" w:ascii="仿宋_GB2312" w:hAnsi="仿宋_GB2312" w:eastAsia="仿宋_GB2312" w:cs="仿宋_GB2312"/>
          <w:kern w:val="0"/>
          <w:sz w:val="32"/>
          <w:szCs w:val="32"/>
          <w:highlight w:val="none"/>
          <w:u w:val="none"/>
          <w:lang w:val="en-US" w:eastAsia="zh-CN"/>
        </w:rPr>
        <w:t>245.17万元，</w:t>
      </w:r>
      <w:r>
        <w:rPr>
          <w:rFonts w:hint="eastAsia" w:ascii="仿宋_GB2312" w:hAnsi="仿宋_GB2312" w:eastAsia="仿宋_GB2312" w:cs="仿宋_GB2312"/>
          <w:kern w:val="0"/>
          <w:sz w:val="32"/>
          <w:szCs w:val="32"/>
          <w:highlight w:val="none"/>
          <w:u w:val="none"/>
          <w:lang w:eastAsia="zh-CN"/>
        </w:rPr>
        <w:t>增加</w:t>
      </w:r>
      <w:r>
        <w:rPr>
          <w:rFonts w:hint="eastAsia" w:ascii="仿宋_GB2312" w:hAnsi="仿宋_GB2312" w:eastAsia="仿宋_GB2312" w:cs="仿宋_GB2312"/>
          <w:kern w:val="0"/>
          <w:sz w:val="32"/>
          <w:szCs w:val="32"/>
          <w:highlight w:val="none"/>
          <w:u w:val="none"/>
          <w:lang w:val="en-US" w:eastAsia="zh-CN"/>
        </w:rPr>
        <w:t>2022年中央重大传染病防控经费（第二批）</w:t>
      </w:r>
      <w:r>
        <w:rPr>
          <w:rFonts w:hint="eastAsia" w:ascii="仿宋_GB2312" w:hAnsi="仿宋_GB2312" w:eastAsia="仿宋_GB2312" w:cs="仿宋_GB2312"/>
          <w:kern w:val="0"/>
          <w:sz w:val="32"/>
          <w:szCs w:val="32"/>
          <w:highlight w:val="none"/>
          <w:u w:val="none"/>
          <w:lang w:eastAsia="zh-CN"/>
        </w:rPr>
        <w:t>项目支出</w:t>
      </w:r>
      <w:r>
        <w:rPr>
          <w:rFonts w:hint="eastAsia" w:ascii="仿宋_GB2312" w:hAnsi="仿宋_GB2312" w:eastAsia="仿宋_GB2312" w:cs="仿宋_GB2312"/>
          <w:kern w:val="0"/>
          <w:sz w:val="32"/>
          <w:szCs w:val="32"/>
          <w:highlight w:val="none"/>
          <w:u w:val="none"/>
          <w:lang w:val="en-US" w:eastAsia="zh-CN"/>
        </w:rPr>
        <w:t>153.29万元；二是</w:t>
      </w:r>
      <w:r>
        <w:rPr>
          <w:rFonts w:hint="eastAsia" w:ascii="仿宋_GB2312" w:hAnsi="仿宋_GB2312" w:eastAsia="仿宋_GB2312" w:cs="仿宋_GB2312"/>
          <w:kern w:val="0"/>
          <w:sz w:val="32"/>
          <w:szCs w:val="32"/>
          <w:highlight w:val="none"/>
          <w:u w:val="none"/>
          <w:lang w:eastAsia="zh-CN"/>
        </w:rPr>
        <w:t>2022年中央重大传染病防控经费补助资金支出决算较年初预算减少</w:t>
      </w:r>
      <w:r>
        <w:rPr>
          <w:rFonts w:hint="eastAsia" w:ascii="仿宋_GB2312" w:hAnsi="仿宋_GB2312" w:eastAsia="仿宋_GB2312" w:cs="仿宋_GB2312"/>
          <w:kern w:val="0"/>
          <w:sz w:val="32"/>
          <w:szCs w:val="32"/>
          <w:highlight w:val="none"/>
          <w:u w:val="none"/>
          <w:lang w:val="en-US" w:eastAsia="zh-CN"/>
        </w:rPr>
        <w:t>38.17万元，慢性病公共卫生考核及社会影响因素状况调查白皮书</w:t>
      </w:r>
      <w:r>
        <w:rPr>
          <w:rFonts w:hint="eastAsia" w:ascii="仿宋_GB2312" w:hAnsi="仿宋_GB2312" w:eastAsia="仿宋_GB2312" w:cs="仿宋_GB2312"/>
          <w:kern w:val="0"/>
          <w:sz w:val="32"/>
          <w:szCs w:val="32"/>
          <w:highlight w:val="none"/>
          <w:u w:val="none"/>
          <w:lang w:eastAsia="zh-CN"/>
        </w:rPr>
        <w:t>支出决算较年初预算减少</w:t>
      </w:r>
      <w:r>
        <w:rPr>
          <w:rFonts w:hint="eastAsia" w:ascii="仿宋_GB2312" w:hAnsi="仿宋_GB2312" w:eastAsia="仿宋_GB2312" w:cs="仿宋_GB2312"/>
          <w:kern w:val="0"/>
          <w:sz w:val="32"/>
          <w:szCs w:val="32"/>
          <w:highlight w:val="none"/>
          <w:u w:val="none"/>
          <w:lang w:val="en-US" w:eastAsia="zh-CN"/>
        </w:rPr>
        <w:t>0.94万元，慢性病公共卫生考核及社会影响因素状况调查和重点传染病经费及健康科普知识教育经费</w:t>
      </w:r>
      <w:r>
        <w:rPr>
          <w:rFonts w:hint="eastAsia" w:ascii="仿宋_GB2312" w:hAnsi="仿宋_GB2312" w:eastAsia="仿宋_GB2312" w:cs="仿宋_GB2312"/>
          <w:kern w:val="0"/>
          <w:sz w:val="32"/>
          <w:szCs w:val="32"/>
          <w:highlight w:val="none"/>
          <w:u w:val="none"/>
          <w:lang w:eastAsia="zh-CN"/>
        </w:rPr>
        <w:t>支出决算较年初预算减少</w:t>
      </w:r>
      <w:r>
        <w:rPr>
          <w:rFonts w:hint="eastAsia" w:ascii="仿宋_GB2312" w:hAnsi="仿宋_GB2312" w:eastAsia="仿宋_GB2312" w:cs="仿宋_GB2312"/>
          <w:kern w:val="0"/>
          <w:sz w:val="32"/>
          <w:szCs w:val="32"/>
          <w:highlight w:val="none"/>
          <w:u w:val="none"/>
          <w:lang w:val="en-US" w:eastAsia="zh-CN"/>
        </w:rPr>
        <w:t>0.08万元，食品风险检测(地产食品风险监测）经费</w:t>
      </w:r>
      <w:r>
        <w:rPr>
          <w:rFonts w:hint="eastAsia" w:ascii="仿宋_GB2312" w:hAnsi="仿宋_GB2312" w:eastAsia="仿宋_GB2312" w:cs="仿宋_GB2312"/>
          <w:kern w:val="0"/>
          <w:sz w:val="32"/>
          <w:szCs w:val="32"/>
          <w:highlight w:val="none"/>
          <w:u w:val="none"/>
          <w:lang w:eastAsia="zh-CN"/>
        </w:rPr>
        <w:t>支出决算较年初预算减少</w:t>
      </w:r>
      <w:r>
        <w:rPr>
          <w:rFonts w:hint="eastAsia" w:ascii="仿宋_GB2312" w:hAnsi="仿宋_GB2312" w:eastAsia="仿宋_GB2312" w:cs="仿宋_GB2312"/>
          <w:kern w:val="0"/>
          <w:sz w:val="32"/>
          <w:szCs w:val="32"/>
          <w:highlight w:val="none"/>
          <w:u w:val="none"/>
          <w:lang w:val="en-US" w:eastAsia="zh-CN"/>
        </w:rPr>
        <w:t>8.62万元，新冠核酸检测经费</w:t>
      </w:r>
      <w:r>
        <w:rPr>
          <w:rFonts w:hint="eastAsia" w:ascii="仿宋_GB2312" w:hAnsi="仿宋_GB2312" w:eastAsia="仿宋_GB2312" w:cs="仿宋_GB2312"/>
          <w:kern w:val="0"/>
          <w:sz w:val="32"/>
          <w:szCs w:val="32"/>
          <w:highlight w:val="none"/>
          <w:u w:val="none"/>
          <w:lang w:eastAsia="zh-CN"/>
        </w:rPr>
        <w:t>支出决算较年初预算减少</w:t>
      </w:r>
      <w:r>
        <w:rPr>
          <w:rFonts w:hint="eastAsia" w:ascii="仿宋_GB2312" w:hAnsi="仿宋_GB2312" w:eastAsia="仿宋_GB2312" w:cs="仿宋_GB2312"/>
          <w:kern w:val="0"/>
          <w:sz w:val="32"/>
          <w:szCs w:val="32"/>
          <w:highlight w:val="none"/>
          <w:u w:val="none"/>
          <w:lang w:val="en-US" w:eastAsia="zh-CN"/>
        </w:rPr>
        <w:t>65.25万元，疫病防治经费</w:t>
      </w:r>
      <w:r>
        <w:rPr>
          <w:rFonts w:hint="eastAsia" w:ascii="仿宋_GB2312" w:hAnsi="仿宋_GB2312" w:eastAsia="仿宋_GB2312" w:cs="仿宋_GB2312"/>
          <w:kern w:val="0"/>
          <w:sz w:val="32"/>
          <w:szCs w:val="32"/>
          <w:highlight w:val="none"/>
          <w:u w:val="none"/>
          <w:lang w:eastAsia="zh-CN"/>
        </w:rPr>
        <w:t>支出决算较年初预算减少</w:t>
      </w:r>
      <w:r>
        <w:rPr>
          <w:rFonts w:hint="eastAsia" w:ascii="仿宋_GB2312" w:hAnsi="仿宋_GB2312" w:eastAsia="仿宋_GB2312" w:cs="仿宋_GB2312"/>
          <w:kern w:val="0"/>
          <w:sz w:val="32"/>
          <w:szCs w:val="32"/>
          <w:highlight w:val="none"/>
          <w:u w:val="none"/>
          <w:lang w:val="en-US" w:eastAsia="zh-CN"/>
        </w:rPr>
        <w:t>17.83万元。</w:t>
      </w:r>
    </w:p>
    <w:p w14:paraId="07BA0F65">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right="0" w:rightChars="0"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公共卫生（款）突发公共卫生事件应急处理（项）</w:t>
      </w:r>
      <w:r>
        <w:rPr>
          <w:rFonts w:hint="eastAsia" w:ascii="仿宋_GB2312" w:hAnsi="仿宋_GB2312" w:eastAsia="仿宋_GB2312" w:cs="仿宋_GB2312"/>
          <w:spacing w:val="20"/>
          <w:kern w:val="0"/>
          <w:sz w:val="32"/>
          <w:szCs w:val="32"/>
          <w:u w:val="none"/>
        </w:rPr>
        <w:t>。</w:t>
      </w:r>
      <w:r>
        <w:rPr>
          <w:rFonts w:hint="eastAsia" w:ascii="仿宋_GB2312" w:hAnsi="仿宋_GB2312" w:eastAsia="仿宋_GB2312" w:cs="仿宋_GB2312"/>
          <w:kern w:val="0"/>
          <w:sz w:val="32"/>
          <w:szCs w:val="32"/>
          <w:u w:val="none"/>
        </w:rPr>
        <w:t>年初预算</w:t>
      </w:r>
      <w:r>
        <w:rPr>
          <w:rFonts w:hint="eastAsia" w:ascii="仿宋_GB2312" w:hAnsi="仿宋_GB2312" w:eastAsia="仿宋_GB2312" w:cs="仿宋_GB2312"/>
          <w:kern w:val="0"/>
          <w:sz w:val="32"/>
          <w:szCs w:val="32"/>
          <w:u w:val="none"/>
          <w:lang w:val="en-US" w:eastAsia="zh-CN"/>
        </w:rPr>
        <w:t>18.26</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347.73</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1904.33</w:t>
      </w:r>
      <w:r>
        <w:rPr>
          <w:rFonts w:hint="eastAsia" w:ascii="仿宋_GB2312" w:hAnsi="仿宋_GB2312" w:eastAsia="仿宋_GB2312" w:cs="仿宋_GB2312"/>
          <w:kern w:val="0"/>
          <w:sz w:val="32"/>
          <w:szCs w:val="32"/>
          <w:u w:val="none"/>
        </w:rPr>
        <w:t>%。</w:t>
      </w:r>
    </w:p>
    <w:p w14:paraId="6654629B">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left="0" w:leftChars="0" w:right="0" w:rightChars="0" w:firstLine="0" w:firstLineChars="0"/>
        <w:jc w:val="both"/>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决算数与年初预算数的差异原因</w:t>
      </w:r>
      <w:r>
        <w:rPr>
          <w:rFonts w:hint="eastAsia" w:ascii="仿宋_GB2312" w:hAnsi="仿宋_GB2312" w:eastAsia="仿宋_GB2312" w:cs="仿宋_GB2312"/>
          <w:kern w:val="0"/>
          <w:sz w:val="32"/>
          <w:szCs w:val="32"/>
          <w:u w:val="none"/>
          <w:lang w:val="en-US" w:eastAsia="zh-CN"/>
        </w:rPr>
        <w:t>:本年追加</w:t>
      </w:r>
      <w:r>
        <w:rPr>
          <w:rFonts w:hint="eastAsia" w:ascii="仿宋_GB2312" w:hAnsi="仿宋_GB2312" w:eastAsia="仿宋_GB2312" w:cs="仿宋_GB2312"/>
          <w:kern w:val="0"/>
          <w:sz w:val="32"/>
          <w:szCs w:val="32"/>
          <w:u w:val="none"/>
        </w:rPr>
        <w:t>市疾控中心疫情期间一次性绩效工资</w:t>
      </w:r>
      <w:r>
        <w:rPr>
          <w:rFonts w:hint="eastAsia" w:ascii="仿宋_GB2312" w:hAnsi="仿宋_GB2312" w:eastAsia="仿宋_GB2312" w:cs="仿宋_GB2312"/>
          <w:kern w:val="0"/>
          <w:sz w:val="32"/>
          <w:szCs w:val="32"/>
          <w:u w:val="none"/>
          <w:lang w:val="en-US" w:eastAsia="zh-CN"/>
        </w:rPr>
        <w:t>317.96万元,追加中央财政医务人员临时性工作</w:t>
      </w:r>
    </w:p>
    <w:p w14:paraId="3ED83ADC">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left="0" w:leftChars="0" w:right="0" w:rightChars="0" w:firstLine="0" w:firstLineChars="0"/>
        <w:jc w:val="both"/>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补助资金7.32万元，追加2023年中央相关医务人员临时性补助</w:t>
      </w:r>
    </w:p>
    <w:p w14:paraId="44B8C9F4">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left="0" w:leftChars="0" w:right="0" w:rightChars="0" w:firstLine="0" w:firstLineChars="0"/>
        <w:jc w:val="both"/>
        <w:textAlignment w:val="auto"/>
        <w:rPr>
          <w:rFonts w:hint="default"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u w:val="none"/>
          <w:lang w:val="en-US" w:eastAsia="zh-CN"/>
        </w:rPr>
        <w:t>资金1万元，追加2023年中央相关医务人员临时性补助资金（第二批）2万元，追加2023年自治区财政相关医务人员临时性工作补助1.19万元。</w:t>
      </w:r>
    </w:p>
    <w:p w14:paraId="0AD0B16F">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left="0" w:leftChars="0" w:right="0" w:rightChars="0" w:firstLine="640" w:firstLineChars="200"/>
        <w:jc w:val="both"/>
        <w:textAlignment w:val="auto"/>
        <w:rPr>
          <w:rFonts w:hint="default" w:ascii="仿宋_GB2312" w:hAnsi="仿宋_GB2312" w:eastAsia="仿宋_GB2312" w:cs="仿宋_GB2312"/>
          <w:kern w:val="0"/>
          <w:sz w:val="32"/>
          <w:szCs w:val="32"/>
          <w:highlight w:val="none"/>
          <w:u w:val="none"/>
          <w:lang w:val="en-US"/>
        </w:rPr>
      </w:pPr>
      <w:r>
        <w:rPr>
          <w:rFonts w:hint="eastAsia" w:ascii="仿宋_GB2312" w:hAnsi="仿宋_GB2312" w:eastAsia="仿宋_GB2312" w:cs="仿宋_GB2312"/>
          <w:kern w:val="0"/>
          <w:sz w:val="32"/>
          <w:szCs w:val="32"/>
          <w:u w:val="none"/>
          <w:lang w:val="en-US" w:eastAsia="zh-CN"/>
        </w:rPr>
        <w:t>7.</w:t>
      </w:r>
      <w:r>
        <w:rPr>
          <w:rFonts w:hint="eastAsia" w:ascii="仿宋_GB2312" w:hAnsi="仿宋_GB2312" w:eastAsia="仿宋_GB2312" w:cs="仿宋_GB2312"/>
          <w:kern w:val="0"/>
          <w:sz w:val="32"/>
          <w:szCs w:val="32"/>
          <w:u w:val="none"/>
        </w:rPr>
        <w:t>公共卫生（款）其他公共卫生支出（项）。年初预算</w:t>
      </w:r>
      <w:r>
        <w:rPr>
          <w:rFonts w:hint="eastAsia" w:ascii="仿宋_GB2312" w:hAnsi="仿宋_GB2312" w:eastAsia="仿宋_GB2312" w:cs="仿宋_GB2312"/>
          <w:kern w:val="0"/>
          <w:sz w:val="32"/>
          <w:szCs w:val="32"/>
          <w:u w:val="none"/>
          <w:lang w:val="en-US" w:eastAsia="zh-CN"/>
        </w:rPr>
        <w:t>62.03</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92.09</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148.46</w:t>
      </w:r>
      <w:r>
        <w:rPr>
          <w:rFonts w:hint="eastAsia" w:ascii="仿宋_GB2312" w:hAnsi="仿宋_GB2312" w:eastAsia="仿宋_GB2312" w:cs="仿宋_GB2312"/>
          <w:kern w:val="0"/>
          <w:sz w:val="32"/>
          <w:szCs w:val="32"/>
          <w:u w:val="none"/>
        </w:rPr>
        <w:t>%。决算数与年初预算数的差异原因</w:t>
      </w:r>
      <w:r>
        <w:rPr>
          <w:rFonts w:hint="eastAsia" w:ascii="仿宋_GB2312" w:hAnsi="仿宋_GB2312" w:eastAsia="仿宋_GB2312" w:cs="仿宋_GB2312"/>
          <w:kern w:val="0"/>
          <w:sz w:val="32"/>
          <w:szCs w:val="32"/>
          <w:highlight w:val="none"/>
          <w:u w:val="none"/>
        </w:rPr>
        <w:t>：</w:t>
      </w:r>
      <w:r>
        <w:rPr>
          <w:rFonts w:hint="eastAsia" w:ascii="仿宋_GB2312" w:hAnsi="仿宋_GB2312" w:eastAsia="仿宋_GB2312" w:cs="仿宋_GB2312"/>
          <w:kern w:val="0"/>
          <w:sz w:val="32"/>
          <w:szCs w:val="32"/>
          <w:highlight w:val="none"/>
          <w:u w:val="none"/>
          <w:lang w:eastAsia="zh-CN"/>
        </w:rPr>
        <w:t>本年追加2023年中央医疗服务与保障能力提升（医疗卫生机构能力建设）补助资金</w:t>
      </w:r>
      <w:r>
        <w:rPr>
          <w:rFonts w:hint="eastAsia" w:ascii="仿宋_GB2312" w:hAnsi="仿宋_GB2312" w:eastAsia="仿宋_GB2312" w:cs="仿宋_GB2312"/>
          <w:kern w:val="0"/>
          <w:sz w:val="32"/>
          <w:szCs w:val="32"/>
          <w:highlight w:val="none"/>
          <w:u w:val="none"/>
          <w:lang w:val="en-US" w:eastAsia="zh-CN"/>
        </w:rPr>
        <w:t>37.61万元，2022年自治区移动方舱实验室购置经费</w:t>
      </w:r>
      <w:r>
        <w:rPr>
          <w:rFonts w:hint="eastAsia" w:ascii="仿宋_GB2312" w:hAnsi="仿宋_GB2312" w:eastAsia="仿宋_GB2312" w:cs="仿宋_GB2312"/>
          <w:kern w:val="0"/>
          <w:sz w:val="32"/>
          <w:szCs w:val="32"/>
          <w:highlight w:val="none"/>
          <w:u w:val="none"/>
          <w:lang w:eastAsia="zh-CN"/>
        </w:rPr>
        <w:t>支出决算较年初预算减少</w:t>
      </w:r>
      <w:r>
        <w:rPr>
          <w:rFonts w:hint="eastAsia" w:ascii="仿宋_GB2312" w:hAnsi="仿宋_GB2312" w:eastAsia="仿宋_GB2312" w:cs="仿宋_GB2312"/>
          <w:kern w:val="0"/>
          <w:sz w:val="32"/>
          <w:szCs w:val="32"/>
          <w:highlight w:val="none"/>
          <w:u w:val="none"/>
          <w:lang w:val="en-US" w:eastAsia="zh-CN"/>
        </w:rPr>
        <w:t>7.55万元。</w:t>
      </w:r>
    </w:p>
    <w:p w14:paraId="526A5E70">
      <w:pPr>
        <w:keepNext w:val="0"/>
        <w:keepLines w:val="0"/>
        <w:pageBreakBefore w:val="0"/>
        <w:widowControl/>
        <w:suppressLineNumbers w:val="0"/>
        <w:kinsoku/>
        <w:wordWrap/>
        <w:overflowPunct/>
        <w:topLinePunct w:val="0"/>
        <w:autoSpaceDE/>
        <w:autoSpaceDN/>
        <w:bidi w:val="0"/>
        <w:adjustRightInd/>
        <w:snapToGrid/>
        <w:spacing w:line="560" w:lineRule="atLeast"/>
        <w:ind w:left="0" w:leftChars="0" w:firstLine="640" w:firstLineChars="200"/>
        <w:jc w:val="left"/>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计划生育事务（款）计划生育服务（项）。年初预算0万元，支出决算</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万元，完成年初预算的100.00%。决算数与年初预算数的差异原</w:t>
      </w:r>
      <w:r>
        <w:rPr>
          <w:rFonts w:hint="eastAsia" w:ascii="仿宋_GB2312" w:hAnsi="仿宋_GB2312" w:eastAsia="仿宋_GB2312" w:cs="仿宋_GB2312"/>
          <w:kern w:val="0"/>
          <w:sz w:val="32"/>
          <w:szCs w:val="32"/>
          <w:highlight w:val="none"/>
          <w:u w:val="none"/>
        </w:rPr>
        <w:t>因：</w:t>
      </w:r>
      <w:r>
        <w:rPr>
          <w:rFonts w:hint="eastAsia" w:ascii="仿宋_GB2312" w:hAnsi="仿宋_GB2312" w:eastAsia="仿宋_GB2312" w:cs="仿宋_GB2312"/>
          <w:kern w:val="0"/>
          <w:sz w:val="32"/>
          <w:szCs w:val="32"/>
          <w:highlight w:val="none"/>
          <w:u w:val="none"/>
          <w:lang w:eastAsia="zh-CN"/>
        </w:rPr>
        <w:t>本年追加</w:t>
      </w:r>
      <w:r>
        <w:rPr>
          <w:rFonts w:hint="eastAsia" w:ascii="仿宋_GB2312" w:hAnsi="仿宋_GB2312" w:eastAsia="仿宋_GB2312" w:cs="仿宋_GB2312"/>
          <w:color w:val="000000"/>
          <w:kern w:val="0"/>
          <w:sz w:val="32"/>
          <w:szCs w:val="32"/>
          <w:highlight w:val="none"/>
          <w:u w:val="none"/>
          <w:lang w:val="en-US" w:eastAsia="zh-CN" w:bidi="ar"/>
        </w:rPr>
        <w:t>2023年市级人口和计划生育目标责任制考核补助资金1万元。</w:t>
      </w:r>
    </w:p>
    <w:p w14:paraId="1E12DF18">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left="0" w:leftChars="0" w:right="0" w:rightChars="0" w:firstLine="640" w:firstLineChars="200"/>
        <w:jc w:val="both"/>
        <w:textAlignment w:val="auto"/>
        <w:rPr>
          <w:rFonts w:hint="eastAsia" w:ascii="仿宋_GB2312" w:hAnsi="仿宋_GB2312" w:eastAsia="仿宋_GB2312" w:cs="仿宋_GB2312"/>
          <w:kern w:val="0"/>
          <w:sz w:val="32"/>
          <w:szCs w:val="32"/>
          <w:highlight w:val="yellow"/>
          <w:u w:val="none"/>
          <w:lang w:val="en-US" w:eastAsia="zh-CN"/>
        </w:rPr>
      </w:pPr>
      <w:r>
        <w:rPr>
          <w:rFonts w:hint="eastAsia" w:ascii="仿宋_GB2312" w:hAnsi="仿宋_GB2312" w:eastAsia="仿宋_GB2312" w:cs="仿宋_GB2312"/>
          <w:color w:val="000000"/>
          <w:kern w:val="0"/>
          <w:sz w:val="32"/>
          <w:szCs w:val="32"/>
          <w:u w:val="none"/>
          <w:lang w:val="en-US" w:eastAsia="zh-CN" w:bidi="ar"/>
        </w:rPr>
        <w:t>9.</w:t>
      </w:r>
      <w:r>
        <w:rPr>
          <w:rFonts w:hint="eastAsia" w:ascii="仿宋_GB2312" w:hAnsi="仿宋_GB2312" w:eastAsia="仿宋_GB2312" w:cs="仿宋_GB2312"/>
          <w:kern w:val="0"/>
          <w:sz w:val="32"/>
          <w:szCs w:val="32"/>
          <w:u w:val="none"/>
        </w:rPr>
        <w:t>行政事业单位医疗（款）</w:t>
      </w:r>
      <w:bookmarkStart w:id="36" w:name="OLE_LINK43"/>
      <w:r>
        <w:rPr>
          <w:rFonts w:hint="eastAsia" w:ascii="仿宋_GB2312" w:hAnsi="仿宋_GB2312" w:eastAsia="仿宋_GB2312" w:cs="仿宋_GB2312"/>
          <w:kern w:val="0"/>
          <w:sz w:val="32"/>
          <w:szCs w:val="32"/>
          <w:u w:val="none"/>
        </w:rPr>
        <w:t>事业单位医疗</w:t>
      </w:r>
      <w:bookmarkEnd w:id="36"/>
      <w:r>
        <w:rPr>
          <w:rFonts w:hint="eastAsia" w:ascii="仿宋_GB2312" w:hAnsi="仿宋_GB2312" w:eastAsia="仿宋_GB2312" w:cs="仿宋_GB2312"/>
          <w:kern w:val="0"/>
          <w:sz w:val="32"/>
          <w:szCs w:val="32"/>
          <w:u w:val="none"/>
        </w:rPr>
        <w:t>（项）。年初预算</w:t>
      </w:r>
      <w:r>
        <w:rPr>
          <w:rFonts w:hint="eastAsia" w:ascii="仿宋_GB2312" w:hAnsi="仿宋_GB2312" w:eastAsia="仿宋_GB2312" w:cs="仿宋_GB2312"/>
          <w:kern w:val="0"/>
          <w:sz w:val="32"/>
          <w:szCs w:val="32"/>
          <w:u w:val="none"/>
          <w:lang w:val="en-US" w:eastAsia="zh-CN"/>
        </w:rPr>
        <w:t>149.68</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147.8</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98.74</w:t>
      </w:r>
      <w:r>
        <w:rPr>
          <w:rFonts w:hint="eastAsia" w:ascii="仿宋_GB2312" w:hAnsi="仿宋_GB2312" w:eastAsia="仿宋_GB2312" w:cs="仿宋_GB2312"/>
          <w:kern w:val="0"/>
          <w:sz w:val="32"/>
          <w:szCs w:val="32"/>
          <w:u w:val="none"/>
        </w:rPr>
        <w:t>%。决算数与年初预算数的差异原因：</w:t>
      </w:r>
      <w:bookmarkEnd w:id="34"/>
      <w:r>
        <w:rPr>
          <w:rFonts w:hint="eastAsia" w:ascii="仿宋_GB2312" w:hAnsi="仿宋_GB2312" w:eastAsia="仿宋_GB2312" w:cs="仿宋_GB2312"/>
          <w:kern w:val="0"/>
          <w:sz w:val="32"/>
          <w:szCs w:val="32"/>
          <w:highlight w:val="none"/>
          <w:u w:val="none"/>
          <w:lang w:eastAsia="zh-CN"/>
        </w:rPr>
        <w:t>本年有</w:t>
      </w:r>
      <w:r>
        <w:rPr>
          <w:rFonts w:hint="eastAsia" w:ascii="仿宋_GB2312" w:hAnsi="仿宋_GB2312" w:eastAsia="仿宋_GB2312" w:cs="仿宋_GB2312"/>
          <w:kern w:val="0"/>
          <w:sz w:val="32"/>
          <w:szCs w:val="32"/>
          <w:highlight w:val="none"/>
          <w:u w:val="none"/>
          <w:lang w:val="en-US" w:eastAsia="zh-CN"/>
        </w:rPr>
        <w:t>13人退休，导致</w:t>
      </w:r>
      <w:r>
        <w:rPr>
          <w:rFonts w:hint="eastAsia" w:ascii="仿宋_GB2312" w:hAnsi="仿宋_GB2312" w:eastAsia="仿宋_GB2312" w:cs="仿宋_GB2312"/>
          <w:kern w:val="0"/>
          <w:sz w:val="32"/>
          <w:szCs w:val="32"/>
          <w:u w:val="none"/>
        </w:rPr>
        <w:t>事业单位医疗</w:t>
      </w:r>
      <w:r>
        <w:rPr>
          <w:rFonts w:hint="eastAsia" w:ascii="仿宋_GB2312" w:hAnsi="仿宋_GB2312" w:eastAsia="仿宋_GB2312" w:cs="仿宋_GB2312"/>
          <w:kern w:val="0"/>
          <w:sz w:val="32"/>
          <w:szCs w:val="32"/>
          <w:u w:val="none"/>
          <w:lang w:eastAsia="zh-CN"/>
        </w:rPr>
        <w:t>经费决算支出减少。</w:t>
      </w:r>
    </w:p>
    <w:p w14:paraId="697022FA">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Autospacing="0" w:afterAutospacing="0" w:line="560" w:lineRule="atLeas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（五）住房保障支出（类）</w:t>
      </w:r>
    </w:p>
    <w:p w14:paraId="01773D78">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住房保障支出类决算数为 285.60万元，与年初预算相比增加 0.60万元。其中：</w:t>
      </w:r>
    </w:p>
    <w:p w14:paraId="16AEC2EE">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住房改革支出（款）住房公积金（项）。年初预算</w:t>
      </w:r>
      <w:r>
        <w:rPr>
          <w:rFonts w:hint="eastAsia" w:ascii="仿宋_GB2312" w:hAnsi="仿宋_GB2312" w:eastAsia="仿宋_GB2312" w:cs="仿宋_GB2312"/>
          <w:kern w:val="0"/>
          <w:sz w:val="32"/>
          <w:szCs w:val="32"/>
          <w:u w:val="none"/>
          <w:lang w:val="en-US" w:eastAsia="zh-CN"/>
        </w:rPr>
        <w:t>285.00</w:t>
      </w:r>
      <w:r>
        <w:rPr>
          <w:rFonts w:hint="eastAsia" w:ascii="仿宋_GB2312" w:hAnsi="仿宋_GB2312" w:eastAsia="仿宋_GB2312" w:cs="仿宋_GB2312"/>
          <w:kern w:val="0"/>
          <w:sz w:val="32"/>
          <w:szCs w:val="32"/>
          <w:u w:val="none"/>
        </w:rPr>
        <w:t>万元，支出决算</w:t>
      </w:r>
      <w:r>
        <w:rPr>
          <w:rFonts w:hint="eastAsia" w:ascii="仿宋_GB2312" w:hAnsi="仿宋_GB2312" w:eastAsia="仿宋_GB2312" w:cs="仿宋_GB2312"/>
          <w:kern w:val="0"/>
          <w:sz w:val="32"/>
          <w:szCs w:val="32"/>
          <w:u w:val="none"/>
          <w:lang w:val="en-US" w:eastAsia="zh-CN"/>
        </w:rPr>
        <w:t>285.60</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100.21</w:t>
      </w:r>
      <w:r>
        <w:rPr>
          <w:rFonts w:hint="eastAsia" w:ascii="仿宋_GB2312" w:hAnsi="仿宋_GB2312" w:eastAsia="仿宋_GB2312" w:cs="仿宋_GB2312"/>
          <w:kern w:val="0"/>
          <w:sz w:val="32"/>
          <w:szCs w:val="32"/>
          <w:u w:val="none"/>
        </w:rPr>
        <w:t>%。决算数与年初预算数的差异原因：</w:t>
      </w:r>
      <w:r>
        <w:rPr>
          <w:rFonts w:hint="eastAsia" w:ascii="仿宋_GB2312" w:hAnsi="仿宋_GB2312" w:eastAsia="仿宋_GB2312" w:cs="仿宋_GB2312"/>
          <w:kern w:val="0"/>
          <w:sz w:val="32"/>
          <w:szCs w:val="32"/>
          <w:highlight w:val="none"/>
          <w:u w:val="none"/>
          <w:lang w:val="en-US" w:eastAsia="zh-CN"/>
        </w:rPr>
        <w:t>2022年末新入职的19名职工的人员经费未列入2023年预算，导致2023年</w:t>
      </w:r>
      <w:bookmarkStart w:id="37" w:name="OLE_LINK13"/>
      <w:r>
        <w:rPr>
          <w:rFonts w:hint="eastAsia" w:ascii="仿宋_GB2312" w:hAnsi="仿宋_GB2312" w:eastAsia="仿宋_GB2312" w:cs="仿宋_GB2312"/>
          <w:kern w:val="0"/>
          <w:sz w:val="32"/>
          <w:szCs w:val="32"/>
          <w:highlight w:val="none"/>
          <w:u w:val="none"/>
          <w:lang w:val="en-US" w:eastAsia="zh-CN"/>
        </w:rPr>
        <w:t>住房公积</w:t>
      </w:r>
      <w:bookmarkEnd w:id="37"/>
      <w:r>
        <w:rPr>
          <w:rFonts w:hint="eastAsia" w:ascii="仿宋_GB2312" w:hAnsi="仿宋_GB2312" w:eastAsia="仿宋_GB2312" w:cs="仿宋_GB2312"/>
          <w:kern w:val="0"/>
          <w:sz w:val="32"/>
          <w:szCs w:val="32"/>
          <w:highlight w:val="none"/>
          <w:u w:val="none"/>
          <w:lang w:val="en-US" w:eastAsia="zh-CN"/>
        </w:rPr>
        <w:t>金不足，年中追加住</w:t>
      </w:r>
      <w:r>
        <w:rPr>
          <w:rFonts w:hint="eastAsia" w:ascii="仿宋_GB2312" w:hAnsi="仿宋_GB2312" w:eastAsia="仿宋_GB2312" w:cs="仿宋_GB2312"/>
          <w:kern w:val="0"/>
          <w:sz w:val="32"/>
          <w:szCs w:val="32"/>
          <w:u w:val="none"/>
          <w:lang w:val="en-US" w:eastAsia="zh-CN"/>
        </w:rPr>
        <w:t>房公积金</w:t>
      </w:r>
      <w:r>
        <w:rPr>
          <w:rFonts w:hint="eastAsia" w:ascii="仿宋_GB2312" w:hAnsi="仿宋_GB2312" w:eastAsia="仿宋_GB2312" w:cs="仿宋_GB2312"/>
          <w:kern w:val="0"/>
          <w:sz w:val="32"/>
          <w:szCs w:val="32"/>
          <w:u w:val="none"/>
        </w:rPr>
        <w:t>。</w:t>
      </w:r>
    </w:p>
    <w:p w14:paraId="7E40A654">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outlineLvl w:val="1"/>
        <w:rPr>
          <w:rFonts w:ascii="Times New Roman" w:hAnsi="Times New Roman" w:eastAsia="Times New Roman" w:cs="Times New Roman"/>
          <w:b w:val="0"/>
          <w:bCs w:val="0"/>
          <w:kern w:val="0"/>
          <w:sz w:val="32"/>
          <w:szCs w:val="32"/>
        </w:rPr>
      </w:pPr>
      <w:bookmarkStart w:id="38" w:name="_Toc27443"/>
      <w:r>
        <w:rPr>
          <w:rFonts w:ascii="黑体" w:hAnsi="黑体" w:eastAsia="黑体" w:cs="黑体"/>
          <w:b w:val="0"/>
          <w:bCs w:val="0"/>
          <w:kern w:val="0"/>
          <w:sz w:val="32"/>
          <w:szCs w:val="32"/>
        </w:rPr>
        <w:t>六、一般公共预算财政拨款基本支出决算情况说明</w:t>
      </w:r>
      <w:bookmarkEnd w:id="38"/>
    </w:p>
    <w:p w14:paraId="23518E72">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ascii="fang_song_gb2312" w:hAnsi="fang_song_gb2312" w:eastAsia="fang_song_gb2312" w:cs="fang_song_gb2312"/>
          <w:color w:val="0E00FE"/>
          <w:kern w:val="0"/>
          <w:sz w:val="27"/>
          <w:szCs w:val="27"/>
        </w:rPr>
        <w:t> </w:t>
      </w:r>
      <w:r>
        <w:rPr>
          <w:rFonts w:hint="eastAsia" w:ascii="fang_song_gb2312" w:hAnsi="fang_song_gb2312" w:eastAsia="宋体" w:cs="fang_song_gb2312"/>
          <w:color w:val="0E00FE"/>
          <w:kern w:val="0"/>
          <w:sz w:val="27"/>
          <w:szCs w:val="27"/>
          <w:lang w:val="en-US" w:eastAsia="zh-CN"/>
        </w:rPr>
        <w:t xml:space="preserve">    </w:t>
      </w:r>
      <w:r>
        <w:rPr>
          <w:rFonts w:hint="eastAsia" w:ascii="仿宋_GB2312" w:hAnsi="仿宋_GB2312" w:eastAsia="仿宋_GB2312" w:cs="仿宋_GB2312"/>
          <w:kern w:val="0"/>
          <w:sz w:val="32"/>
          <w:szCs w:val="32"/>
          <w:u w:val="none"/>
        </w:rPr>
        <w:t>内蒙古自治区鄂尔多斯市疾病预防控制中心 2023年度一般公共预算财政拨款基本支出决算 4,515.71万元，其中：</w:t>
      </w:r>
    </w:p>
    <w:p w14:paraId="1A0963DB">
      <w:pPr>
        <w:keepNext w:val="0"/>
        <w:keepLines w:val="0"/>
        <w:pageBreakBefore w:val="0"/>
        <w:widowControl/>
        <w:numPr>
          <w:ilvl w:val="0"/>
          <w:numId w:val="3"/>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val="0"/>
          <w:bCs w:val="0"/>
          <w:kern w:val="0"/>
          <w:sz w:val="32"/>
          <w:szCs w:val="32"/>
          <w:u w:val="none"/>
        </w:rPr>
        <w:t>人员经费 3,729.26万元。</w:t>
      </w:r>
      <w:r>
        <w:rPr>
          <w:rFonts w:hint="eastAsia" w:ascii="仿宋_GB2312" w:hAnsi="仿宋_GB2312" w:eastAsia="仿宋_GB2312" w:cs="仿宋_GB2312"/>
          <w:kern w:val="0"/>
          <w:sz w:val="32"/>
          <w:szCs w:val="32"/>
          <w:u w:val="none"/>
        </w:rPr>
        <w:t>主要包括：基本工资</w:t>
      </w:r>
      <w:r>
        <w:rPr>
          <w:rFonts w:hint="eastAsia" w:ascii="仿宋_GB2312" w:hAnsi="仿宋_GB2312" w:eastAsia="仿宋_GB2312" w:cs="仿宋_GB2312"/>
          <w:kern w:val="0"/>
          <w:sz w:val="32"/>
          <w:szCs w:val="32"/>
          <w:u w:val="none"/>
          <w:lang w:val="en-US" w:eastAsia="zh-CN"/>
        </w:rPr>
        <w:t>840.58万元</w:t>
      </w:r>
      <w:r>
        <w:rPr>
          <w:rFonts w:hint="eastAsia" w:ascii="仿宋_GB2312" w:hAnsi="仿宋_GB2312" w:eastAsia="仿宋_GB2312" w:cs="仿宋_GB2312"/>
          <w:kern w:val="0"/>
          <w:sz w:val="32"/>
          <w:szCs w:val="32"/>
          <w:u w:val="none"/>
        </w:rPr>
        <w:t>、津贴补贴</w:t>
      </w:r>
      <w:r>
        <w:rPr>
          <w:rFonts w:hint="eastAsia" w:ascii="仿宋_GB2312" w:hAnsi="仿宋_GB2312" w:eastAsia="仿宋_GB2312" w:cs="仿宋_GB2312"/>
          <w:kern w:val="0"/>
          <w:sz w:val="32"/>
          <w:szCs w:val="32"/>
          <w:u w:val="none"/>
          <w:lang w:val="en-US" w:eastAsia="zh-CN"/>
        </w:rPr>
        <w:t>1169.17万元</w:t>
      </w:r>
      <w:r>
        <w:rPr>
          <w:rFonts w:hint="eastAsia" w:ascii="仿宋_GB2312" w:hAnsi="仿宋_GB2312" w:eastAsia="仿宋_GB2312" w:cs="仿宋_GB2312"/>
          <w:kern w:val="0"/>
          <w:sz w:val="32"/>
          <w:szCs w:val="32"/>
          <w:u w:val="none"/>
        </w:rPr>
        <w:t>、奖金</w:t>
      </w:r>
      <w:r>
        <w:rPr>
          <w:rFonts w:hint="eastAsia" w:ascii="仿宋_GB2312" w:hAnsi="仿宋_GB2312" w:eastAsia="仿宋_GB2312" w:cs="仿宋_GB2312"/>
          <w:kern w:val="0"/>
          <w:sz w:val="32"/>
          <w:szCs w:val="32"/>
          <w:u w:val="none"/>
          <w:lang w:val="en-US" w:eastAsia="zh-CN"/>
        </w:rPr>
        <w:t>187.49万元</w:t>
      </w:r>
      <w:r>
        <w:rPr>
          <w:rFonts w:hint="eastAsia" w:ascii="仿宋_GB2312" w:hAnsi="仿宋_GB2312" w:eastAsia="仿宋_GB2312" w:cs="仿宋_GB2312"/>
          <w:kern w:val="0"/>
          <w:sz w:val="32"/>
          <w:szCs w:val="32"/>
          <w:u w:val="none"/>
        </w:rPr>
        <w:t>、绩效工资</w:t>
      </w:r>
      <w:r>
        <w:rPr>
          <w:rFonts w:hint="eastAsia" w:ascii="仿宋_GB2312" w:hAnsi="仿宋_GB2312" w:eastAsia="仿宋_GB2312" w:cs="仿宋_GB2312"/>
          <w:kern w:val="0"/>
          <w:sz w:val="32"/>
          <w:szCs w:val="32"/>
          <w:u w:val="none"/>
          <w:lang w:val="en-US" w:eastAsia="zh-CN"/>
        </w:rPr>
        <w:t>334.4万元</w:t>
      </w:r>
      <w:r>
        <w:rPr>
          <w:rFonts w:hint="eastAsia" w:ascii="仿宋_GB2312" w:hAnsi="仿宋_GB2312" w:eastAsia="仿宋_GB2312" w:cs="仿宋_GB2312"/>
          <w:kern w:val="0"/>
          <w:sz w:val="32"/>
          <w:szCs w:val="32"/>
          <w:u w:val="none"/>
        </w:rPr>
        <w:t>、机关事业单位基本养老保险缴费</w:t>
      </w:r>
      <w:r>
        <w:rPr>
          <w:rFonts w:hint="eastAsia" w:ascii="仿宋_GB2312" w:hAnsi="仿宋_GB2312" w:eastAsia="仿宋_GB2312" w:cs="仿宋_GB2312"/>
          <w:kern w:val="0"/>
          <w:sz w:val="32"/>
          <w:szCs w:val="32"/>
          <w:u w:val="none"/>
          <w:lang w:val="en-US" w:eastAsia="zh-CN"/>
        </w:rPr>
        <w:t>305.31万元、职业年金缴费64.27万元、职工医疗保险缴费109.97万元、公务员医疗补助缴费37.83万元、其他社会保障缴费26.94万元、</w:t>
      </w:r>
      <w:r>
        <w:rPr>
          <w:rFonts w:hint="eastAsia" w:ascii="仿宋_GB2312" w:hAnsi="仿宋_GB2312" w:eastAsia="仿宋_GB2312" w:cs="仿宋_GB2312"/>
          <w:kern w:val="0"/>
          <w:sz w:val="32"/>
          <w:szCs w:val="32"/>
          <w:u w:val="none"/>
        </w:rPr>
        <w:t>住房公积金</w:t>
      </w:r>
      <w:r>
        <w:rPr>
          <w:rFonts w:hint="eastAsia" w:ascii="仿宋_GB2312" w:hAnsi="仿宋_GB2312" w:eastAsia="仿宋_GB2312" w:cs="仿宋_GB2312"/>
          <w:kern w:val="0"/>
          <w:sz w:val="32"/>
          <w:szCs w:val="32"/>
          <w:u w:val="none"/>
          <w:lang w:val="en-US" w:eastAsia="zh-CN"/>
        </w:rPr>
        <w:t>285.6万元</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其他工资福利支出</w:t>
      </w:r>
      <w:r>
        <w:rPr>
          <w:rFonts w:hint="eastAsia" w:ascii="仿宋_GB2312" w:hAnsi="仿宋_GB2312" w:eastAsia="仿宋_GB2312" w:cs="仿宋_GB2312"/>
          <w:kern w:val="0"/>
          <w:sz w:val="32"/>
          <w:szCs w:val="32"/>
          <w:u w:val="none"/>
          <w:lang w:val="en-US" w:eastAsia="zh-CN"/>
        </w:rPr>
        <w:t>75.24万元、退休费201.45万元、抚恤金77.33万元、生活补助13.7万元。</w:t>
      </w:r>
    </w:p>
    <w:p w14:paraId="79FDBB33">
      <w:pPr>
        <w:keepNext w:val="0"/>
        <w:keepLines w:val="0"/>
        <w:pageBreakBefore w:val="0"/>
        <w:widowControl/>
        <w:numPr>
          <w:ilvl w:val="0"/>
          <w:numId w:val="3"/>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val="0"/>
          <w:bCs w:val="0"/>
          <w:kern w:val="0"/>
          <w:sz w:val="32"/>
          <w:szCs w:val="32"/>
          <w:u w:val="none"/>
          <w:lang w:eastAsia="zh-CN"/>
        </w:rPr>
        <w:t>公用经费 786.45万元。</w:t>
      </w:r>
      <w:r>
        <w:rPr>
          <w:rFonts w:hint="eastAsia" w:ascii="仿宋_GB2312" w:hAnsi="仿宋_GB2312" w:eastAsia="仿宋_GB2312" w:cs="仿宋_GB2312"/>
          <w:b w:val="0"/>
          <w:bCs w:val="0"/>
          <w:kern w:val="0"/>
          <w:sz w:val="32"/>
          <w:szCs w:val="32"/>
          <w:u w:val="none"/>
        </w:rPr>
        <w:t>主要</w:t>
      </w:r>
      <w:r>
        <w:rPr>
          <w:rFonts w:hint="eastAsia" w:ascii="仿宋_GB2312" w:hAnsi="仿宋_GB2312" w:eastAsia="仿宋_GB2312" w:cs="仿宋_GB2312"/>
          <w:kern w:val="0"/>
          <w:sz w:val="32"/>
          <w:szCs w:val="32"/>
          <w:u w:val="none"/>
        </w:rPr>
        <w:t>包括：办公费</w:t>
      </w:r>
      <w:r>
        <w:rPr>
          <w:rFonts w:hint="eastAsia" w:ascii="仿宋_GB2312" w:hAnsi="仿宋_GB2312" w:eastAsia="仿宋_GB2312" w:cs="仿宋_GB2312"/>
          <w:kern w:val="0"/>
          <w:sz w:val="32"/>
          <w:szCs w:val="32"/>
          <w:u w:val="none"/>
          <w:lang w:val="en-US" w:eastAsia="zh-CN"/>
        </w:rPr>
        <w:t>18.97万元</w:t>
      </w:r>
      <w:r>
        <w:rPr>
          <w:rFonts w:hint="eastAsia" w:ascii="仿宋_GB2312" w:hAnsi="仿宋_GB2312" w:eastAsia="仿宋_GB2312" w:cs="仿宋_GB2312"/>
          <w:kern w:val="0"/>
          <w:sz w:val="32"/>
          <w:szCs w:val="32"/>
          <w:u w:val="none"/>
        </w:rPr>
        <w:t>、咨询费</w:t>
      </w:r>
      <w:r>
        <w:rPr>
          <w:rFonts w:hint="eastAsia" w:ascii="仿宋_GB2312" w:hAnsi="仿宋_GB2312" w:eastAsia="仿宋_GB2312" w:cs="仿宋_GB2312"/>
          <w:kern w:val="0"/>
          <w:sz w:val="32"/>
          <w:szCs w:val="32"/>
          <w:u w:val="none"/>
          <w:lang w:val="en-US" w:eastAsia="zh-CN"/>
        </w:rPr>
        <w:t>0.6万元</w:t>
      </w:r>
      <w:r>
        <w:rPr>
          <w:rFonts w:hint="eastAsia" w:ascii="仿宋_GB2312" w:hAnsi="仿宋_GB2312" w:eastAsia="仿宋_GB2312" w:cs="仿宋_GB2312"/>
          <w:kern w:val="0"/>
          <w:sz w:val="32"/>
          <w:szCs w:val="32"/>
          <w:u w:val="none"/>
        </w:rPr>
        <w:t>、水费</w:t>
      </w:r>
      <w:r>
        <w:rPr>
          <w:rFonts w:hint="eastAsia" w:ascii="仿宋_GB2312" w:hAnsi="仿宋_GB2312" w:eastAsia="仿宋_GB2312" w:cs="仿宋_GB2312"/>
          <w:kern w:val="0"/>
          <w:sz w:val="32"/>
          <w:szCs w:val="32"/>
          <w:u w:val="none"/>
          <w:lang w:val="en-US" w:eastAsia="zh-CN"/>
        </w:rPr>
        <w:t>18万元</w:t>
      </w:r>
      <w:r>
        <w:rPr>
          <w:rFonts w:hint="eastAsia" w:ascii="仿宋_GB2312" w:hAnsi="仿宋_GB2312" w:eastAsia="仿宋_GB2312" w:cs="仿宋_GB2312"/>
          <w:kern w:val="0"/>
          <w:sz w:val="32"/>
          <w:szCs w:val="32"/>
          <w:u w:val="none"/>
        </w:rPr>
        <w:t>、电费</w:t>
      </w:r>
      <w:r>
        <w:rPr>
          <w:rFonts w:hint="eastAsia" w:ascii="仿宋_GB2312" w:hAnsi="仿宋_GB2312" w:eastAsia="仿宋_GB2312" w:cs="仿宋_GB2312"/>
          <w:kern w:val="0"/>
          <w:sz w:val="32"/>
          <w:szCs w:val="32"/>
          <w:u w:val="none"/>
          <w:lang w:val="en-US" w:eastAsia="zh-CN"/>
        </w:rPr>
        <w:t>78.88万元</w:t>
      </w:r>
      <w:r>
        <w:rPr>
          <w:rFonts w:hint="eastAsia" w:ascii="仿宋_GB2312" w:hAnsi="仿宋_GB2312" w:eastAsia="仿宋_GB2312" w:cs="仿宋_GB2312"/>
          <w:kern w:val="0"/>
          <w:sz w:val="32"/>
          <w:szCs w:val="32"/>
          <w:u w:val="none"/>
        </w:rPr>
        <w:t>、邮电费</w:t>
      </w:r>
      <w:r>
        <w:rPr>
          <w:rFonts w:hint="eastAsia" w:ascii="仿宋_GB2312" w:hAnsi="仿宋_GB2312" w:eastAsia="仿宋_GB2312" w:cs="仿宋_GB2312"/>
          <w:kern w:val="0"/>
          <w:sz w:val="32"/>
          <w:szCs w:val="32"/>
          <w:u w:val="none"/>
          <w:lang w:val="en-US" w:eastAsia="zh-CN"/>
        </w:rPr>
        <w:t>7.18万元</w:t>
      </w:r>
      <w:r>
        <w:rPr>
          <w:rFonts w:hint="eastAsia" w:ascii="仿宋_GB2312" w:hAnsi="仿宋_GB2312" w:eastAsia="仿宋_GB2312" w:cs="仿宋_GB2312"/>
          <w:kern w:val="0"/>
          <w:sz w:val="32"/>
          <w:szCs w:val="32"/>
          <w:u w:val="none"/>
        </w:rPr>
        <w:t>、取暖费</w:t>
      </w:r>
      <w:r>
        <w:rPr>
          <w:rFonts w:hint="eastAsia" w:ascii="仿宋_GB2312" w:hAnsi="仿宋_GB2312" w:eastAsia="仿宋_GB2312" w:cs="仿宋_GB2312"/>
          <w:kern w:val="0"/>
          <w:sz w:val="32"/>
          <w:szCs w:val="32"/>
          <w:u w:val="none"/>
          <w:lang w:val="en-US" w:eastAsia="zh-CN"/>
        </w:rPr>
        <w:t>110.11万元</w:t>
      </w:r>
      <w:r>
        <w:rPr>
          <w:rFonts w:hint="eastAsia" w:ascii="仿宋_GB2312" w:hAnsi="仿宋_GB2312" w:eastAsia="仿宋_GB2312" w:cs="仿宋_GB2312"/>
          <w:kern w:val="0"/>
          <w:sz w:val="32"/>
          <w:szCs w:val="32"/>
          <w:u w:val="none"/>
        </w:rPr>
        <w:t>、物业管理费</w:t>
      </w:r>
      <w:r>
        <w:rPr>
          <w:rFonts w:hint="eastAsia" w:ascii="仿宋_GB2312" w:hAnsi="仿宋_GB2312" w:eastAsia="仿宋_GB2312" w:cs="仿宋_GB2312"/>
          <w:kern w:val="0"/>
          <w:sz w:val="32"/>
          <w:szCs w:val="32"/>
          <w:u w:val="none"/>
          <w:lang w:val="en-US" w:eastAsia="zh-CN"/>
        </w:rPr>
        <w:t>213.29万元</w:t>
      </w:r>
      <w:r>
        <w:rPr>
          <w:rFonts w:hint="eastAsia" w:ascii="仿宋_GB2312" w:hAnsi="仿宋_GB2312" w:eastAsia="仿宋_GB2312" w:cs="仿宋_GB2312"/>
          <w:kern w:val="0"/>
          <w:sz w:val="32"/>
          <w:szCs w:val="32"/>
          <w:u w:val="none"/>
        </w:rPr>
        <w:t>、差旅费</w:t>
      </w:r>
      <w:r>
        <w:rPr>
          <w:rFonts w:hint="eastAsia" w:ascii="仿宋_GB2312" w:hAnsi="仿宋_GB2312" w:eastAsia="仿宋_GB2312" w:cs="仿宋_GB2312"/>
          <w:kern w:val="0"/>
          <w:sz w:val="32"/>
          <w:szCs w:val="32"/>
          <w:u w:val="none"/>
          <w:lang w:val="en-US" w:eastAsia="zh-CN"/>
        </w:rPr>
        <w:t>5.78万元</w:t>
      </w:r>
      <w:r>
        <w:rPr>
          <w:rFonts w:hint="eastAsia" w:ascii="仿宋_GB2312" w:hAnsi="仿宋_GB2312" w:eastAsia="仿宋_GB2312" w:cs="仿宋_GB2312"/>
          <w:kern w:val="0"/>
          <w:sz w:val="32"/>
          <w:szCs w:val="32"/>
          <w:u w:val="none"/>
        </w:rPr>
        <w:t>、维修（护）费</w:t>
      </w:r>
      <w:r>
        <w:rPr>
          <w:rFonts w:hint="eastAsia" w:ascii="仿宋_GB2312" w:hAnsi="仿宋_GB2312" w:eastAsia="仿宋_GB2312" w:cs="仿宋_GB2312"/>
          <w:kern w:val="0"/>
          <w:sz w:val="32"/>
          <w:szCs w:val="32"/>
          <w:u w:val="none"/>
          <w:lang w:val="en-US" w:eastAsia="zh-CN"/>
        </w:rPr>
        <w:t>19.83万元</w:t>
      </w:r>
      <w:r>
        <w:rPr>
          <w:rFonts w:hint="eastAsia" w:ascii="仿宋_GB2312" w:hAnsi="仿宋_GB2312" w:eastAsia="仿宋_GB2312" w:cs="仿宋_GB2312"/>
          <w:kern w:val="0"/>
          <w:sz w:val="32"/>
          <w:szCs w:val="32"/>
          <w:u w:val="none"/>
        </w:rPr>
        <w:t>、劳务费</w:t>
      </w:r>
      <w:r>
        <w:rPr>
          <w:rFonts w:hint="eastAsia" w:ascii="仿宋_GB2312" w:hAnsi="仿宋_GB2312" w:eastAsia="仿宋_GB2312" w:cs="仿宋_GB2312"/>
          <w:kern w:val="0"/>
          <w:sz w:val="32"/>
          <w:szCs w:val="32"/>
          <w:u w:val="none"/>
          <w:lang w:val="en-US" w:eastAsia="zh-CN"/>
        </w:rPr>
        <w:t>2.11万元</w:t>
      </w:r>
      <w:r>
        <w:rPr>
          <w:rFonts w:hint="eastAsia" w:ascii="仿宋_GB2312" w:hAnsi="仿宋_GB2312" w:eastAsia="仿宋_GB2312" w:cs="仿宋_GB2312"/>
          <w:kern w:val="0"/>
          <w:sz w:val="32"/>
          <w:szCs w:val="32"/>
          <w:u w:val="none"/>
        </w:rPr>
        <w:t>、委托业务费</w:t>
      </w:r>
      <w:r>
        <w:rPr>
          <w:rFonts w:hint="eastAsia" w:ascii="仿宋_GB2312" w:hAnsi="仿宋_GB2312" w:eastAsia="仿宋_GB2312" w:cs="仿宋_GB2312"/>
          <w:kern w:val="0"/>
          <w:sz w:val="32"/>
          <w:szCs w:val="32"/>
          <w:u w:val="none"/>
          <w:lang w:val="en-US" w:eastAsia="zh-CN"/>
        </w:rPr>
        <w:t>13.3万元</w:t>
      </w:r>
      <w:r>
        <w:rPr>
          <w:rFonts w:hint="eastAsia" w:ascii="仿宋_GB2312" w:hAnsi="仿宋_GB2312" w:eastAsia="仿宋_GB2312" w:cs="仿宋_GB2312"/>
          <w:kern w:val="0"/>
          <w:sz w:val="32"/>
          <w:szCs w:val="32"/>
          <w:u w:val="none"/>
        </w:rPr>
        <w:t>、工会经费</w:t>
      </w:r>
      <w:r>
        <w:rPr>
          <w:rFonts w:hint="eastAsia" w:ascii="仿宋_GB2312" w:hAnsi="仿宋_GB2312" w:eastAsia="仿宋_GB2312" w:cs="仿宋_GB2312"/>
          <w:kern w:val="0"/>
          <w:sz w:val="32"/>
          <w:szCs w:val="32"/>
          <w:u w:val="none"/>
          <w:lang w:val="en-US" w:eastAsia="zh-CN"/>
        </w:rPr>
        <w:t>22.51万元</w:t>
      </w:r>
      <w:r>
        <w:rPr>
          <w:rFonts w:hint="eastAsia" w:ascii="仿宋_GB2312" w:hAnsi="仿宋_GB2312" w:eastAsia="仿宋_GB2312" w:cs="仿宋_GB2312"/>
          <w:kern w:val="0"/>
          <w:sz w:val="32"/>
          <w:szCs w:val="32"/>
          <w:u w:val="none"/>
        </w:rPr>
        <w:t>、福利费</w:t>
      </w:r>
      <w:r>
        <w:rPr>
          <w:rFonts w:hint="eastAsia" w:ascii="仿宋_GB2312" w:hAnsi="仿宋_GB2312" w:eastAsia="仿宋_GB2312" w:cs="仿宋_GB2312"/>
          <w:kern w:val="0"/>
          <w:sz w:val="32"/>
          <w:szCs w:val="32"/>
          <w:u w:val="none"/>
          <w:lang w:val="en-US" w:eastAsia="zh-CN"/>
        </w:rPr>
        <w:t>46.9万元</w:t>
      </w:r>
      <w:r>
        <w:rPr>
          <w:rFonts w:hint="eastAsia" w:ascii="仿宋_GB2312" w:hAnsi="仿宋_GB2312" w:eastAsia="仿宋_GB2312" w:cs="仿宋_GB2312"/>
          <w:kern w:val="0"/>
          <w:sz w:val="32"/>
          <w:szCs w:val="32"/>
          <w:u w:val="none"/>
        </w:rPr>
        <w:t>、公务用车运行维护费</w:t>
      </w:r>
      <w:r>
        <w:rPr>
          <w:rFonts w:hint="eastAsia" w:ascii="仿宋_GB2312" w:hAnsi="仿宋_GB2312" w:eastAsia="仿宋_GB2312" w:cs="仿宋_GB2312"/>
          <w:kern w:val="0"/>
          <w:sz w:val="32"/>
          <w:szCs w:val="32"/>
          <w:u w:val="none"/>
          <w:lang w:val="en-US" w:eastAsia="zh-CN"/>
        </w:rPr>
        <w:t>10.56万元</w:t>
      </w:r>
      <w:r>
        <w:rPr>
          <w:rFonts w:hint="eastAsia" w:ascii="仿宋_GB2312" w:hAnsi="仿宋_GB2312" w:eastAsia="仿宋_GB2312" w:cs="仿宋_GB2312"/>
          <w:kern w:val="0"/>
          <w:sz w:val="32"/>
          <w:szCs w:val="32"/>
          <w:u w:val="none"/>
        </w:rPr>
        <w:t>、其他交通费用</w:t>
      </w:r>
      <w:r>
        <w:rPr>
          <w:rFonts w:hint="eastAsia" w:ascii="仿宋_GB2312" w:hAnsi="仿宋_GB2312" w:eastAsia="仿宋_GB2312" w:cs="仿宋_GB2312"/>
          <w:kern w:val="0"/>
          <w:sz w:val="32"/>
          <w:szCs w:val="32"/>
          <w:u w:val="none"/>
          <w:lang w:val="en-US" w:eastAsia="zh-CN"/>
        </w:rPr>
        <w:t>201.7万元</w:t>
      </w:r>
      <w:r>
        <w:rPr>
          <w:rFonts w:hint="eastAsia" w:ascii="仿宋_GB2312" w:hAnsi="仿宋_GB2312" w:eastAsia="仿宋_GB2312" w:cs="仿宋_GB2312"/>
          <w:kern w:val="0"/>
          <w:sz w:val="32"/>
          <w:szCs w:val="32"/>
          <w:u w:val="none"/>
        </w:rPr>
        <w:t>、其他商品和服务支出</w:t>
      </w:r>
      <w:r>
        <w:rPr>
          <w:rFonts w:hint="eastAsia" w:ascii="仿宋_GB2312" w:hAnsi="仿宋_GB2312" w:eastAsia="仿宋_GB2312" w:cs="仿宋_GB2312"/>
          <w:kern w:val="0"/>
          <w:sz w:val="32"/>
          <w:szCs w:val="32"/>
          <w:u w:val="none"/>
          <w:lang w:val="en-US" w:eastAsia="zh-CN"/>
        </w:rPr>
        <w:t>13.46万元</w:t>
      </w:r>
      <w:r>
        <w:rPr>
          <w:rFonts w:hint="eastAsia" w:ascii="仿宋_GB2312" w:hAnsi="仿宋_GB2312" w:eastAsia="仿宋_GB2312" w:cs="仿宋_GB2312"/>
          <w:kern w:val="0"/>
          <w:sz w:val="32"/>
          <w:szCs w:val="32"/>
          <w:u w:val="none"/>
        </w:rPr>
        <w:t>、办公设备购置</w:t>
      </w:r>
      <w:r>
        <w:rPr>
          <w:rFonts w:hint="eastAsia" w:ascii="仿宋_GB2312" w:hAnsi="仿宋_GB2312" w:eastAsia="仿宋_GB2312" w:cs="仿宋_GB2312"/>
          <w:kern w:val="0"/>
          <w:sz w:val="32"/>
          <w:szCs w:val="32"/>
          <w:u w:val="none"/>
          <w:lang w:val="en-US" w:eastAsia="zh-CN"/>
        </w:rPr>
        <w:t>3.26万元。</w:t>
      </w:r>
    </w:p>
    <w:p w14:paraId="1711ACAF">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outlineLvl w:val="1"/>
        <w:rPr>
          <w:rFonts w:ascii="Times New Roman" w:hAnsi="Times New Roman" w:eastAsia="Times New Roman" w:cs="Times New Roman"/>
          <w:b w:val="0"/>
          <w:bCs w:val="0"/>
          <w:kern w:val="0"/>
          <w:sz w:val="32"/>
          <w:szCs w:val="32"/>
        </w:rPr>
      </w:pPr>
      <w:bookmarkStart w:id="39" w:name="_Toc27582"/>
      <w:r>
        <w:rPr>
          <w:rFonts w:ascii="黑体" w:hAnsi="黑体" w:eastAsia="黑体" w:cs="黑体"/>
          <w:b w:val="0"/>
          <w:bCs w:val="0"/>
          <w:kern w:val="0"/>
          <w:sz w:val="32"/>
          <w:szCs w:val="32"/>
        </w:rPr>
        <w:t>七、一般公共预算财政拨款项目支出决算情况说明</w:t>
      </w:r>
      <w:bookmarkEnd w:id="39"/>
    </w:p>
    <w:p w14:paraId="733C08C8">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内蒙古自治区鄂尔多斯市疾病预防控制中心2023年度一般公共预算财政拨款项目支出决算4,779.56万元，其中：</w:t>
      </w:r>
    </w:p>
    <w:p w14:paraId="4C9FC8D3">
      <w:pPr>
        <w:keepNext w:val="0"/>
        <w:keepLines w:val="0"/>
        <w:pageBreakBefore w:val="0"/>
        <w:widowControl/>
        <w:numPr>
          <w:ilvl w:val="0"/>
          <w:numId w:val="4"/>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val="0"/>
          <w:bCs w:val="0"/>
          <w:kern w:val="0"/>
          <w:sz w:val="32"/>
          <w:szCs w:val="32"/>
          <w:u w:val="none"/>
        </w:rPr>
        <w:t>工资福利支出317.96万元。</w:t>
      </w:r>
      <w:r>
        <w:rPr>
          <w:rFonts w:hint="eastAsia" w:ascii="仿宋_GB2312" w:hAnsi="仿宋_GB2312" w:eastAsia="仿宋_GB2312" w:cs="仿宋_GB2312"/>
          <w:kern w:val="0"/>
          <w:sz w:val="32"/>
          <w:szCs w:val="32"/>
          <w:u w:val="none"/>
        </w:rPr>
        <w:t>主要包括：</w:t>
      </w:r>
      <w:r>
        <w:rPr>
          <w:rFonts w:hint="eastAsia" w:ascii="仿宋_GB2312" w:hAnsi="仿宋_GB2312" w:eastAsia="仿宋_GB2312" w:cs="仿宋_GB2312"/>
          <w:kern w:val="0"/>
          <w:sz w:val="32"/>
          <w:szCs w:val="32"/>
          <w:u w:val="none"/>
          <w:lang w:eastAsia="zh-CN"/>
        </w:rPr>
        <w:t>绩效工资</w:t>
      </w:r>
      <w:r>
        <w:rPr>
          <w:rFonts w:hint="eastAsia" w:ascii="仿宋_GB2312" w:hAnsi="仿宋_GB2312" w:eastAsia="仿宋_GB2312" w:cs="仿宋_GB2312"/>
          <w:kern w:val="0"/>
          <w:sz w:val="32"/>
          <w:szCs w:val="32"/>
          <w:u w:val="none"/>
          <w:lang w:val="en-US" w:eastAsia="zh-CN"/>
        </w:rPr>
        <w:t>317.96万元,为支付2021年疫情期间一次性绩效工资。</w:t>
      </w:r>
    </w:p>
    <w:p w14:paraId="6FEEE180">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楷体_GB2312" w:hAnsi="楷体_GB2312" w:eastAsia="楷体_GB2312" w:cs="楷体_GB2312"/>
          <w:b w:val="0"/>
          <w:bCs w:val="0"/>
          <w:kern w:val="0"/>
          <w:sz w:val="32"/>
          <w:szCs w:val="32"/>
          <w:u w:val="none"/>
          <w:lang w:eastAsia="zh-CN"/>
        </w:rPr>
        <w:t>（二）</w:t>
      </w:r>
      <w:r>
        <w:rPr>
          <w:rFonts w:hint="eastAsia" w:ascii="仿宋_GB2312" w:hAnsi="仿宋_GB2312" w:eastAsia="仿宋_GB2312" w:cs="仿宋_GB2312"/>
          <w:b w:val="0"/>
          <w:bCs w:val="0"/>
          <w:kern w:val="0"/>
          <w:sz w:val="32"/>
          <w:szCs w:val="32"/>
          <w:u w:val="none"/>
        </w:rPr>
        <w:t>商品和服务支出1,539.44万元。主要包括：办公费</w:t>
      </w:r>
      <w:r>
        <w:rPr>
          <w:rFonts w:hint="eastAsia" w:ascii="仿宋_GB2312" w:hAnsi="仿宋_GB2312" w:eastAsia="仿宋_GB2312" w:cs="仿宋_GB2312"/>
          <w:b w:val="0"/>
          <w:bCs w:val="0"/>
          <w:kern w:val="0"/>
          <w:sz w:val="32"/>
          <w:szCs w:val="32"/>
          <w:u w:val="none"/>
          <w:lang w:val="en-US" w:eastAsia="zh-CN"/>
        </w:rPr>
        <w:t>11.2万元</w:t>
      </w:r>
      <w:r>
        <w:rPr>
          <w:rFonts w:hint="eastAsia" w:ascii="仿宋_GB2312" w:hAnsi="仿宋_GB2312" w:eastAsia="仿宋_GB2312" w:cs="仿宋_GB2312"/>
          <w:b w:val="0"/>
          <w:bCs w:val="0"/>
          <w:kern w:val="0"/>
          <w:sz w:val="32"/>
          <w:szCs w:val="32"/>
          <w:u w:val="none"/>
        </w:rPr>
        <w:t>、印刷费</w:t>
      </w:r>
      <w:r>
        <w:rPr>
          <w:rFonts w:hint="eastAsia" w:ascii="仿宋_GB2312" w:hAnsi="仿宋_GB2312" w:eastAsia="仿宋_GB2312" w:cs="仿宋_GB2312"/>
          <w:b w:val="0"/>
          <w:bCs w:val="0"/>
          <w:kern w:val="0"/>
          <w:sz w:val="32"/>
          <w:szCs w:val="32"/>
          <w:u w:val="none"/>
          <w:lang w:val="en-US" w:eastAsia="zh-CN"/>
        </w:rPr>
        <w:t>41.91万元</w:t>
      </w:r>
      <w:r>
        <w:rPr>
          <w:rFonts w:hint="eastAsia" w:ascii="仿宋_GB2312" w:hAnsi="仿宋_GB2312" w:eastAsia="仿宋_GB2312" w:cs="仿宋_GB2312"/>
          <w:b w:val="0"/>
          <w:bCs w:val="0"/>
          <w:kern w:val="0"/>
          <w:sz w:val="32"/>
          <w:szCs w:val="32"/>
          <w:u w:val="none"/>
        </w:rPr>
        <w:t>、邮电费</w:t>
      </w:r>
      <w:r>
        <w:rPr>
          <w:rFonts w:hint="eastAsia" w:ascii="仿宋_GB2312" w:hAnsi="仿宋_GB2312" w:eastAsia="仿宋_GB2312" w:cs="仿宋_GB2312"/>
          <w:b w:val="0"/>
          <w:bCs w:val="0"/>
          <w:kern w:val="0"/>
          <w:sz w:val="32"/>
          <w:szCs w:val="32"/>
          <w:u w:val="none"/>
          <w:lang w:val="en-US" w:eastAsia="zh-CN"/>
        </w:rPr>
        <w:t>1</w:t>
      </w:r>
      <w:r>
        <w:rPr>
          <w:rFonts w:hint="eastAsia" w:ascii="仿宋_GB2312" w:hAnsi="仿宋_GB2312" w:eastAsia="仿宋_GB2312" w:cs="仿宋_GB2312"/>
          <w:kern w:val="0"/>
          <w:sz w:val="32"/>
          <w:szCs w:val="32"/>
          <w:u w:val="none"/>
          <w:lang w:val="en-US" w:eastAsia="zh-CN"/>
        </w:rPr>
        <w:t>.72万元</w:t>
      </w:r>
      <w:r>
        <w:rPr>
          <w:rFonts w:hint="eastAsia" w:ascii="仿宋_GB2312" w:hAnsi="仿宋_GB2312" w:eastAsia="仿宋_GB2312" w:cs="仿宋_GB2312"/>
          <w:kern w:val="0"/>
          <w:sz w:val="32"/>
          <w:szCs w:val="32"/>
          <w:u w:val="none"/>
        </w:rPr>
        <w:t>、差旅费</w:t>
      </w:r>
      <w:r>
        <w:rPr>
          <w:rFonts w:hint="eastAsia" w:ascii="仿宋_GB2312" w:hAnsi="仿宋_GB2312" w:eastAsia="仿宋_GB2312" w:cs="仿宋_GB2312"/>
          <w:kern w:val="0"/>
          <w:sz w:val="32"/>
          <w:szCs w:val="32"/>
          <w:u w:val="none"/>
          <w:lang w:val="en-US" w:eastAsia="zh-CN"/>
        </w:rPr>
        <w:t>147.82万元</w:t>
      </w:r>
      <w:r>
        <w:rPr>
          <w:rFonts w:hint="eastAsia" w:ascii="仿宋_GB2312" w:hAnsi="仿宋_GB2312" w:eastAsia="仿宋_GB2312" w:cs="仿宋_GB2312"/>
          <w:kern w:val="0"/>
          <w:sz w:val="32"/>
          <w:szCs w:val="32"/>
          <w:u w:val="none"/>
        </w:rPr>
        <w:t>、维修（护）费52.02万元、会议费</w:t>
      </w:r>
      <w:r>
        <w:rPr>
          <w:rFonts w:hint="eastAsia" w:ascii="仿宋_GB2312" w:hAnsi="仿宋_GB2312" w:eastAsia="仿宋_GB2312" w:cs="仿宋_GB2312"/>
          <w:kern w:val="0"/>
          <w:sz w:val="32"/>
          <w:szCs w:val="32"/>
          <w:u w:val="none"/>
          <w:lang w:val="en-US" w:eastAsia="zh-CN"/>
        </w:rPr>
        <w:t>2.15万元</w:t>
      </w:r>
      <w:r>
        <w:rPr>
          <w:rFonts w:hint="eastAsia" w:ascii="仿宋_GB2312" w:hAnsi="仿宋_GB2312" w:eastAsia="仿宋_GB2312" w:cs="仿宋_GB2312"/>
          <w:kern w:val="0"/>
          <w:sz w:val="32"/>
          <w:szCs w:val="32"/>
          <w:u w:val="none"/>
        </w:rPr>
        <w:t>、培训费</w:t>
      </w:r>
      <w:r>
        <w:rPr>
          <w:rFonts w:hint="eastAsia" w:ascii="仿宋_GB2312" w:hAnsi="仿宋_GB2312" w:eastAsia="仿宋_GB2312" w:cs="仿宋_GB2312"/>
          <w:kern w:val="0"/>
          <w:sz w:val="32"/>
          <w:szCs w:val="32"/>
          <w:u w:val="none"/>
          <w:lang w:val="en-US" w:eastAsia="zh-CN"/>
        </w:rPr>
        <w:t>175.93万元</w:t>
      </w:r>
      <w:r>
        <w:rPr>
          <w:rFonts w:hint="eastAsia" w:ascii="仿宋_GB2312" w:hAnsi="仿宋_GB2312" w:eastAsia="仿宋_GB2312" w:cs="仿宋_GB2312"/>
          <w:kern w:val="0"/>
          <w:sz w:val="32"/>
          <w:szCs w:val="32"/>
          <w:u w:val="none"/>
        </w:rPr>
        <w:t>、专用材料费</w:t>
      </w:r>
      <w:r>
        <w:rPr>
          <w:rFonts w:hint="eastAsia" w:ascii="仿宋_GB2312" w:hAnsi="仿宋_GB2312" w:eastAsia="仿宋_GB2312" w:cs="仿宋_GB2312"/>
          <w:kern w:val="0"/>
          <w:sz w:val="32"/>
          <w:szCs w:val="32"/>
          <w:u w:val="none"/>
          <w:lang w:val="en-US" w:eastAsia="zh-CN"/>
        </w:rPr>
        <w:t>844.36万元</w:t>
      </w:r>
      <w:r>
        <w:rPr>
          <w:rFonts w:hint="eastAsia" w:ascii="仿宋_GB2312" w:hAnsi="仿宋_GB2312" w:eastAsia="仿宋_GB2312" w:cs="仿宋_GB2312"/>
          <w:kern w:val="0"/>
          <w:sz w:val="32"/>
          <w:szCs w:val="32"/>
          <w:u w:val="none"/>
        </w:rPr>
        <w:t>、劳务费</w:t>
      </w:r>
      <w:r>
        <w:rPr>
          <w:rFonts w:hint="eastAsia" w:ascii="仿宋_GB2312" w:hAnsi="仿宋_GB2312" w:eastAsia="仿宋_GB2312" w:cs="仿宋_GB2312"/>
          <w:kern w:val="0"/>
          <w:sz w:val="32"/>
          <w:szCs w:val="32"/>
          <w:u w:val="none"/>
          <w:lang w:val="en-US" w:eastAsia="zh-CN"/>
        </w:rPr>
        <w:t>25.68万元</w:t>
      </w:r>
      <w:r>
        <w:rPr>
          <w:rFonts w:hint="eastAsia" w:ascii="仿宋_GB2312" w:hAnsi="仿宋_GB2312" w:eastAsia="仿宋_GB2312" w:cs="仿宋_GB2312"/>
          <w:kern w:val="0"/>
          <w:sz w:val="32"/>
          <w:szCs w:val="32"/>
          <w:u w:val="none"/>
        </w:rPr>
        <w:t>、委托业务费</w:t>
      </w:r>
      <w:r>
        <w:rPr>
          <w:rFonts w:hint="eastAsia" w:ascii="仿宋_GB2312" w:hAnsi="仿宋_GB2312" w:eastAsia="仿宋_GB2312" w:cs="仿宋_GB2312"/>
          <w:kern w:val="0"/>
          <w:sz w:val="32"/>
          <w:szCs w:val="32"/>
          <w:u w:val="none"/>
          <w:lang w:val="en-US" w:eastAsia="zh-CN"/>
        </w:rPr>
        <w:t>59.2万元、</w:t>
      </w:r>
      <w:r>
        <w:rPr>
          <w:rFonts w:hint="eastAsia" w:ascii="仿宋_GB2312" w:hAnsi="仿宋_GB2312" w:eastAsia="仿宋_GB2312" w:cs="仿宋_GB2312"/>
          <w:kern w:val="0"/>
          <w:sz w:val="32"/>
          <w:szCs w:val="32"/>
          <w:u w:val="none"/>
        </w:rPr>
        <w:t>公务用车运行维护费</w:t>
      </w:r>
      <w:r>
        <w:rPr>
          <w:rFonts w:hint="eastAsia" w:ascii="仿宋_GB2312" w:hAnsi="仿宋_GB2312" w:eastAsia="仿宋_GB2312" w:cs="仿宋_GB2312"/>
          <w:kern w:val="0"/>
          <w:sz w:val="32"/>
          <w:szCs w:val="32"/>
          <w:u w:val="none"/>
          <w:lang w:val="en-US" w:eastAsia="zh-CN"/>
        </w:rPr>
        <w:t>0.75万元</w:t>
      </w:r>
      <w:r>
        <w:rPr>
          <w:rFonts w:hint="eastAsia" w:ascii="仿宋_GB2312" w:hAnsi="仿宋_GB2312" w:eastAsia="仿宋_GB2312" w:cs="仿宋_GB2312"/>
          <w:kern w:val="0"/>
          <w:sz w:val="32"/>
          <w:szCs w:val="32"/>
          <w:u w:val="none"/>
        </w:rPr>
        <w:t>、其他交通费用</w:t>
      </w:r>
      <w:r>
        <w:rPr>
          <w:rFonts w:hint="eastAsia" w:ascii="仿宋_GB2312" w:hAnsi="仿宋_GB2312" w:eastAsia="仿宋_GB2312" w:cs="仿宋_GB2312"/>
          <w:kern w:val="0"/>
          <w:sz w:val="32"/>
          <w:szCs w:val="32"/>
          <w:u w:val="none"/>
          <w:lang w:val="en-US" w:eastAsia="zh-CN"/>
        </w:rPr>
        <w:t>31.25万元</w:t>
      </w:r>
      <w:r>
        <w:rPr>
          <w:rFonts w:hint="eastAsia" w:ascii="仿宋_GB2312" w:hAnsi="仿宋_GB2312" w:eastAsia="仿宋_GB2312" w:cs="仿宋_GB2312"/>
          <w:kern w:val="0"/>
          <w:sz w:val="32"/>
          <w:szCs w:val="32"/>
          <w:u w:val="none"/>
        </w:rPr>
        <w:t>、其他商品和服务支出</w:t>
      </w:r>
      <w:r>
        <w:rPr>
          <w:rFonts w:hint="eastAsia" w:ascii="仿宋_GB2312" w:hAnsi="仿宋_GB2312" w:eastAsia="仿宋_GB2312" w:cs="仿宋_GB2312"/>
          <w:kern w:val="0"/>
          <w:sz w:val="32"/>
          <w:szCs w:val="32"/>
          <w:u w:val="none"/>
          <w:lang w:val="en-US" w:eastAsia="zh-CN"/>
        </w:rPr>
        <w:t>145.45万元。</w:t>
      </w:r>
    </w:p>
    <w:p w14:paraId="75046BFF">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楷体_GB2312" w:hAnsi="楷体_GB2312" w:eastAsia="楷体_GB2312" w:cs="楷体_GB2312"/>
          <w:b w:val="0"/>
          <w:bCs w:val="0"/>
          <w:kern w:val="0"/>
          <w:sz w:val="32"/>
          <w:szCs w:val="32"/>
          <w:u w:val="none"/>
          <w:lang w:val="en-US" w:eastAsia="zh-CN"/>
        </w:rPr>
        <w:t>（三）</w:t>
      </w:r>
      <w:r>
        <w:rPr>
          <w:rFonts w:hint="eastAsia" w:ascii="仿宋_GB2312" w:hAnsi="仿宋_GB2312" w:eastAsia="仿宋_GB2312" w:cs="仿宋_GB2312"/>
          <w:b w:val="0"/>
          <w:bCs w:val="0"/>
          <w:kern w:val="0"/>
          <w:sz w:val="32"/>
          <w:szCs w:val="32"/>
          <w:u w:val="none"/>
          <w:lang w:val="en-US" w:eastAsia="zh-CN"/>
        </w:rPr>
        <w:t>对个人和家庭的补助50.51万元</w:t>
      </w:r>
      <w:r>
        <w:rPr>
          <w:rFonts w:hint="eastAsia" w:ascii="仿宋_GB2312" w:hAnsi="仿宋_GB2312" w:eastAsia="仿宋_GB2312" w:cs="仿宋_GB2312"/>
          <w:b/>
          <w:bCs/>
          <w:kern w:val="0"/>
          <w:sz w:val="32"/>
          <w:szCs w:val="32"/>
          <w:u w:val="none"/>
          <w:lang w:val="en-US" w:eastAsia="zh-CN"/>
        </w:rPr>
        <w:t>。</w:t>
      </w:r>
      <w:r>
        <w:rPr>
          <w:rFonts w:hint="eastAsia" w:ascii="仿宋_GB2312" w:hAnsi="仿宋_GB2312" w:eastAsia="仿宋_GB2312" w:cs="仿宋_GB2312"/>
          <w:kern w:val="0"/>
          <w:sz w:val="32"/>
          <w:szCs w:val="32"/>
          <w:u w:val="none"/>
          <w:lang w:val="en-US" w:eastAsia="zh-CN"/>
        </w:rPr>
        <w:t>主要包括：生活补助1.77万元，为支付包联驻村人员差旅及补助费；其他对个人和家庭的补助48.74万元，分别为支付市直医疗卫生机构春节慰问金30万元，支付退休支部及委员补助费0.96万元，支付鼠疫疫情防治人员临时性补助2.63万元，支付驻村人员补助费1.44万元，支付医务人员临时性补助费3万元，支付慰问包联驻村老党员0.3万元，支付中央财政医务人员临时性工作补助资金7.32万元，支付2023年自治区财政相关医务人员临时性工作补助1.19万元，支付2024年春节慰问老党员及困难职工1.9万元。</w:t>
      </w:r>
    </w:p>
    <w:p w14:paraId="494F3AEB">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楷体_GB2312" w:hAnsi="楷体_GB2312" w:eastAsia="楷体_GB2312" w:cs="楷体_GB2312"/>
          <w:b w:val="0"/>
          <w:bCs w:val="0"/>
          <w:kern w:val="0"/>
          <w:sz w:val="32"/>
          <w:szCs w:val="32"/>
          <w:u w:val="none"/>
          <w:lang w:val="en-US" w:eastAsia="zh-CN"/>
        </w:rPr>
        <w:t>（四）</w:t>
      </w:r>
      <w:r>
        <w:rPr>
          <w:rFonts w:hint="eastAsia" w:ascii="仿宋_GB2312" w:hAnsi="仿宋_GB2312" w:eastAsia="仿宋_GB2312" w:cs="仿宋_GB2312"/>
          <w:b w:val="0"/>
          <w:bCs w:val="0"/>
          <w:kern w:val="0"/>
          <w:sz w:val="32"/>
          <w:szCs w:val="32"/>
          <w:u w:val="none"/>
          <w:lang w:val="en-US" w:eastAsia="zh-CN"/>
        </w:rPr>
        <w:t>债务利息及费用支出9.66万元。主</w:t>
      </w:r>
      <w:r>
        <w:rPr>
          <w:rFonts w:hint="eastAsia" w:ascii="仿宋_GB2312" w:hAnsi="仿宋_GB2312" w:eastAsia="仿宋_GB2312" w:cs="仿宋_GB2312"/>
          <w:kern w:val="0"/>
          <w:sz w:val="32"/>
          <w:szCs w:val="32"/>
          <w:u w:val="none"/>
          <w:lang w:val="en-US" w:eastAsia="zh-CN"/>
        </w:rPr>
        <w:t>要包括：国外债务付息9.66万元。</w:t>
      </w:r>
    </w:p>
    <w:p w14:paraId="2EED142C">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楷体_GB2312" w:hAnsi="楷体_GB2312" w:eastAsia="楷体_GB2312" w:cs="楷体_GB2312"/>
          <w:b w:val="0"/>
          <w:bCs w:val="0"/>
          <w:kern w:val="0"/>
          <w:sz w:val="32"/>
          <w:szCs w:val="32"/>
          <w:u w:val="none"/>
          <w:lang w:val="en-US" w:eastAsia="zh-CN"/>
        </w:rPr>
        <w:t>（五）</w:t>
      </w:r>
      <w:r>
        <w:rPr>
          <w:rFonts w:hint="eastAsia" w:ascii="仿宋_GB2312" w:hAnsi="仿宋_GB2312" w:eastAsia="仿宋_GB2312" w:cs="仿宋_GB2312"/>
          <w:b w:val="0"/>
          <w:bCs w:val="0"/>
          <w:kern w:val="0"/>
          <w:sz w:val="32"/>
          <w:szCs w:val="32"/>
          <w:u w:val="none"/>
          <w:lang w:val="en-US" w:eastAsia="zh-CN"/>
        </w:rPr>
        <w:t>资本性支出2861.99万元。</w:t>
      </w:r>
      <w:r>
        <w:rPr>
          <w:rFonts w:hint="eastAsia" w:ascii="仿宋_GB2312" w:hAnsi="仿宋_GB2312" w:eastAsia="仿宋_GB2312" w:cs="仿宋_GB2312"/>
          <w:kern w:val="0"/>
          <w:sz w:val="32"/>
          <w:szCs w:val="32"/>
          <w:u w:val="none"/>
          <w:lang w:val="en-US" w:eastAsia="zh-CN"/>
        </w:rPr>
        <w:t>主要包括：办公设备购置14.55万元、专用设备购置2596.13万元、信息网络及软件购置更新251.3万元、其他交通工具购置0.01万元</w:t>
      </w:r>
      <w:r>
        <w:rPr>
          <w:rFonts w:hint="eastAsia" w:ascii="仿宋_GB2312" w:hAnsi="仿宋_GB2312" w:eastAsia="仿宋_GB2312" w:cs="仿宋_GB2312"/>
          <w:kern w:val="0"/>
          <w:sz w:val="32"/>
          <w:szCs w:val="32"/>
          <w:u w:val="none"/>
        </w:rPr>
        <w:t>。</w:t>
      </w:r>
    </w:p>
    <w:p w14:paraId="7B6E91AB">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textAlignment w:val="auto"/>
        <w:outlineLvl w:val="1"/>
        <w:rPr>
          <w:rFonts w:ascii="Times New Roman" w:hAnsi="Times New Roman" w:eastAsia="Times New Roman" w:cs="Times New Roman"/>
          <w:b w:val="0"/>
          <w:bCs w:val="0"/>
          <w:kern w:val="0"/>
          <w:sz w:val="32"/>
          <w:szCs w:val="32"/>
        </w:rPr>
      </w:pPr>
      <w:bookmarkStart w:id="40" w:name="_Toc6470"/>
      <w:r>
        <w:rPr>
          <w:rFonts w:ascii="黑体" w:hAnsi="黑体" w:eastAsia="黑体" w:cs="黑体"/>
          <w:b w:val="0"/>
          <w:bCs w:val="0"/>
          <w:kern w:val="0"/>
          <w:sz w:val="32"/>
          <w:szCs w:val="32"/>
        </w:rPr>
        <w:t>八、财政拨款“三公”经费支出决算情况说明</w:t>
      </w:r>
      <w:bookmarkEnd w:id="40"/>
    </w:p>
    <w:p w14:paraId="0146AC44">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（一）财政拨款“三公”经费支出总体情况说明</w:t>
      </w:r>
    </w:p>
    <w:p w14:paraId="329715E5">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内蒙古自治区鄂尔多斯市疾病预防控制中心 2023年度财政拨款“三公”经费全年预算 12.31万元，支出决算 11.31万元，完成预算的 91.8</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 xml:space="preserve">%。其中：因公出国（境）费全年预算 0.00万元，支出决算 0.00万元，完成预算的 </w:t>
      </w:r>
      <w:r>
        <w:rPr>
          <w:rFonts w:hint="eastAsia" w:ascii="仿宋_GB2312" w:hAnsi="仿宋_GB2312" w:eastAsia="仿宋_GB2312" w:cs="仿宋_GB2312"/>
          <w:kern w:val="0"/>
          <w:sz w:val="32"/>
          <w:szCs w:val="32"/>
          <w:u w:val="none"/>
          <w:lang w:val="en-US" w:eastAsia="zh-CN"/>
        </w:rPr>
        <w:t>0.00</w:t>
      </w:r>
      <w:r>
        <w:rPr>
          <w:rFonts w:hint="eastAsia" w:ascii="仿宋_GB2312" w:hAnsi="仿宋_GB2312" w:eastAsia="仿宋_GB2312" w:cs="仿宋_GB2312"/>
          <w:kern w:val="0"/>
          <w:sz w:val="32"/>
          <w:szCs w:val="32"/>
          <w:u w:val="none"/>
        </w:rPr>
        <w:t xml:space="preserve">%；公务用车购置及运行维护费全年预算 11.31万元，支出决算 11.31万元，完成预算的 </w:t>
      </w:r>
      <w:r>
        <w:rPr>
          <w:rFonts w:hint="eastAsia" w:ascii="仿宋_GB2312" w:hAnsi="仿宋_GB2312" w:eastAsia="仿宋_GB2312" w:cs="仿宋_GB2312"/>
          <w:kern w:val="0"/>
          <w:sz w:val="32"/>
          <w:szCs w:val="32"/>
          <w:u w:val="none"/>
          <w:lang w:val="en-US" w:eastAsia="zh-CN"/>
        </w:rPr>
        <w:t>100.00</w:t>
      </w:r>
      <w:r>
        <w:rPr>
          <w:rFonts w:hint="eastAsia" w:ascii="仿宋_GB2312" w:hAnsi="仿宋_GB2312" w:eastAsia="仿宋_GB2312" w:cs="仿宋_GB2312"/>
          <w:kern w:val="0"/>
          <w:sz w:val="32"/>
          <w:szCs w:val="32"/>
          <w:u w:val="none"/>
        </w:rPr>
        <w:t>%；公务接待费全年预算 1.00万元，支出决算 0.00万元，完成预算的 0.00%。2023年度一般公共预算财政拨款“三公”经费支出决算与预算差异原因</w:t>
      </w:r>
      <w:r>
        <w:rPr>
          <w:rFonts w:hint="eastAsia" w:ascii="仿宋_GB2312" w:hAnsi="仿宋_GB2312" w:eastAsia="仿宋_GB2312" w:cs="仿宋_GB2312"/>
          <w:kern w:val="0"/>
          <w:sz w:val="32"/>
          <w:szCs w:val="32"/>
          <w:u w:val="none"/>
          <w:lang w:eastAsia="zh-CN"/>
        </w:rPr>
        <w:t>：本年本单位严控公务接待费支出。</w:t>
      </w:r>
    </w:p>
    <w:p w14:paraId="56ED8F35">
      <w:pPr>
        <w:keepNext w:val="0"/>
        <w:keepLines w:val="0"/>
        <w:pageBreakBefore w:val="0"/>
        <w:widowControl/>
        <w:numPr>
          <w:ilvl w:val="0"/>
          <w:numId w:val="4"/>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财政拨款“三公”经费支出具体情况说明</w:t>
      </w:r>
    </w:p>
    <w:p w14:paraId="6F23D17D">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内蒙古自治区鄂尔多斯市疾病预防控制中心2023年度财政拨款“三公”经费支出11.3万元。因公出国（境）费支出 0.00万元，占0.00%；公务用车购置及运行维护费支出11.31万元，占</w:t>
      </w:r>
    </w:p>
    <w:p w14:paraId="751B6BBE">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100.00%；公务接待费支出0.00万元，占0.00%。其中：</w:t>
      </w:r>
    </w:p>
    <w:p w14:paraId="36B193A4">
      <w:pPr>
        <w:keepNext w:val="0"/>
        <w:keepLines w:val="0"/>
        <w:pageBreakBefore w:val="0"/>
        <w:widowControl/>
        <w:numPr>
          <w:ilvl w:val="0"/>
          <w:numId w:val="0"/>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 xml:space="preserve">1.因公出国（境）费支出 0.00万元，全年出国（境）团组0 个，累计0 人次。与上年决算相比，增加 0.00万元，增长 </w:t>
      </w:r>
      <w:r>
        <w:rPr>
          <w:rFonts w:hint="eastAsia" w:ascii="仿宋_GB2312" w:hAnsi="仿宋_GB2312" w:eastAsia="仿宋_GB2312" w:cs="仿宋_GB2312"/>
          <w:kern w:val="0"/>
          <w:sz w:val="32"/>
          <w:szCs w:val="32"/>
          <w:u w:val="none"/>
          <w:lang w:val="en-US" w:eastAsia="zh-CN"/>
        </w:rPr>
        <w:t>0.00</w:t>
      </w:r>
      <w:r>
        <w:rPr>
          <w:rFonts w:hint="eastAsia" w:ascii="仿宋_GB2312" w:hAnsi="仿宋_GB2312" w:eastAsia="仿宋_GB2312" w:cs="仿宋_GB2312"/>
          <w:kern w:val="0"/>
          <w:sz w:val="32"/>
          <w:szCs w:val="32"/>
          <w:u w:val="none"/>
        </w:rPr>
        <w:t>%，变动原因：</w:t>
      </w:r>
      <w:r>
        <w:rPr>
          <w:rFonts w:hint="eastAsia" w:ascii="仿宋_GB2312" w:hAnsi="仿宋_GB2312" w:eastAsia="仿宋_GB2312" w:cs="仿宋_GB2312"/>
          <w:kern w:val="0"/>
          <w:sz w:val="32"/>
          <w:szCs w:val="32"/>
          <w:u w:val="none"/>
          <w:lang w:eastAsia="zh-CN"/>
        </w:rPr>
        <w:t>本单位不存在此项内容。</w:t>
      </w:r>
    </w:p>
    <w:p w14:paraId="1F2A06FF">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2.公务用车购置及运行维护费支出 11.31万元。其中：</w:t>
      </w:r>
    </w:p>
    <w:p w14:paraId="4CB7C4DB">
      <w:pPr>
        <w:keepNext w:val="0"/>
        <w:keepLines w:val="0"/>
        <w:pageBreakBefore w:val="0"/>
        <w:widowControl/>
        <w:kinsoku/>
        <w:wordWrap/>
        <w:overflowPunct/>
        <w:topLinePunct w:val="0"/>
        <w:autoSpaceDE/>
        <w:autoSpaceDN/>
        <w:bidi w:val="0"/>
        <w:adjustRightInd/>
        <w:snapToGrid/>
        <w:spacing w:line="560" w:lineRule="atLeas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（1）公务用车购置支出 0.00万元。本年度使用财政拨款购置公务用车0 辆，开支内容：</w:t>
      </w:r>
      <w:bookmarkStart w:id="41" w:name="OLE_LINK15"/>
      <w:r>
        <w:rPr>
          <w:rFonts w:hint="eastAsia" w:ascii="仿宋_GB2312" w:hAnsi="仿宋_GB2312" w:eastAsia="仿宋_GB2312" w:cs="仿宋_GB2312"/>
          <w:kern w:val="0"/>
          <w:sz w:val="32"/>
          <w:szCs w:val="32"/>
          <w:u w:val="none"/>
          <w:lang w:eastAsia="zh-CN"/>
        </w:rPr>
        <w:t>不存在此项内容</w:t>
      </w:r>
      <w:r>
        <w:rPr>
          <w:rFonts w:hint="eastAsia" w:ascii="仿宋_GB2312" w:hAnsi="仿宋_GB2312" w:eastAsia="仿宋_GB2312" w:cs="仿宋_GB2312"/>
          <w:kern w:val="0"/>
          <w:sz w:val="32"/>
          <w:szCs w:val="32"/>
          <w:u w:val="none"/>
        </w:rPr>
        <w:t>。</w:t>
      </w:r>
      <w:bookmarkEnd w:id="41"/>
      <w:r>
        <w:rPr>
          <w:rFonts w:hint="eastAsia" w:ascii="仿宋_GB2312" w:hAnsi="仿宋_GB2312" w:eastAsia="仿宋_GB2312" w:cs="仿宋_GB2312"/>
          <w:kern w:val="0"/>
          <w:sz w:val="32"/>
          <w:szCs w:val="32"/>
          <w:u w:val="none"/>
        </w:rPr>
        <w:t xml:space="preserve">与上年决算相比，增加 0.00万元，增长 </w:t>
      </w:r>
      <w:r>
        <w:rPr>
          <w:rFonts w:hint="eastAsia" w:ascii="仿宋_GB2312" w:hAnsi="仿宋_GB2312" w:eastAsia="仿宋_GB2312" w:cs="仿宋_GB2312"/>
          <w:kern w:val="0"/>
          <w:sz w:val="32"/>
          <w:szCs w:val="32"/>
          <w:u w:val="none"/>
          <w:lang w:val="en-US" w:eastAsia="zh-CN"/>
        </w:rPr>
        <w:t>0.00</w:t>
      </w:r>
      <w:r>
        <w:rPr>
          <w:rFonts w:hint="eastAsia" w:ascii="仿宋_GB2312" w:hAnsi="仿宋_GB2312" w:eastAsia="仿宋_GB2312" w:cs="仿宋_GB2312"/>
          <w:kern w:val="0"/>
          <w:sz w:val="32"/>
          <w:szCs w:val="32"/>
          <w:u w:val="none"/>
        </w:rPr>
        <w:t>%，变动原因：</w:t>
      </w:r>
      <w:r>
        <w:rPr>
          <w:rFonts w:hint="eastAsia" w:ascii="仿宋_GB2312" w:hAnsi="仿宋_GB2312" w:eastAsia="仿宋_GB2312" w:cs="仿宋_GB2312"/>
          <w:kern w:val="0"/>
          <w:sz w:val="32"/>
          <w:szCs w:val="32"/>
          <w:u w:val="none"/>
          <w:lang w:eastAsia="zh-CN"/>
        </w:rPr>
        <w:t>不存在此项内容</w:t>
      </w:r>
      <w:r>
        <w:rPr>
          <w:rFonts w:hint="eastAsia" w:ascii="仿宋_GB2312" w:hAnsi="仿宋_GB2312" w:eastAsia="仿宋_GB2312" w:cs="仿宋_GB2312"/>
          <w:kern w:val="0"/>
          <w:sz w:val="32"/>
          <w:szCs w:val="32"/>
          <w:u w:val="none"/>
        </w:rPr>
        <w:t>。</w:t>
      </w:r>
    </w:p>
    <w:p w14:paraId="1EF507CC">
      <w:pPr>
        <w:keepNext w:val="0"/>
        <w:keepLines w:val="0"/>
        <w:pageBreakBefore w:val="0"/>
        <w:widowControl/>
        <w:kinsoku/>
        <w:wordWrap/>
        <w:overflowPunct/>
        <w:topLinePunct w:val="0"/>
        <w:autoSpaceDE/>
        <w:autoSpaceDN/>
        <w:bidi w:val="0"/>
        <w:adjustRightInd/>
        <w:snapToGrid/>
        <w:spacing w:line="560" w:lineRule="atLeast"/>
        <w:ind w:left="0" w:leftChars="0" w:firstLine="5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（2）公务用车运行维护费支出 11.31万元。公务用车运行维护费主要用于按规定保留的公务用车的燃料费、维修费、过桥过路费、保险费、安全奖励费用等支出。截至2023年12月31日，使用财政拨款开支的公务用车保有量为14 辆。与上年决算相比，</w:t>
      </w:r>
    </w:p>
    <w:p w14:paraId="35DD3072">
      <w:pPr>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减少-3.32万元，减少-22.72%，变动原因：</w:t>
      </w:r>
      <w:r>
        <w:rPr>
          <w:rFonts w:hint="eastAsia" w:ascii="仿宋_GB2312" w:hAnsi="仿宋_GB2312" w:eastAsia="仿宋_GB2312" w:cs="仿宋_GB2312"/>
          <w:kern w:val="0"/>
          <w:sz w:val="32"/>
          <w:szCs w:val="32"/>
          <w:u w:val="none"/>
          <w:lang w:eastAsia="zh-CN"/>
        </w:rPr>
        <w:t>上年因</w:t>
      </w:r>
      <w:r>
        <w:rPr>
          <w:rFonts w:hint="eastAsia" w:ascii="仿宋_GB2312" w:hAnsi="仿宋_GB2312" w:eastAsia="仿宋_GB2312" w:cs="仿宋_GB2312"/>
          <w:kern w:val="0"/>
          <w:sz w:val="32"/>
          <w:szCs w:val="32"/>
          <w:u w:val="none"/>
        </w:rPr>
        <w:t>部分公务</w:t>
      </w:r>
      <w:r>
        <w:rPr>
          <w:rFonts w:hint="eastAsia" w:ascii="仿宋_GB2312" w:hAnsi="仿宋_GB2312" w:eastAsia="仿宋_GB2312" w:cs="仿宋_GB2312"/>
          <w:kern w:val="0"/>
          <w:sz w:val="32"/>
          <w:szCs w:val="32"/>
          <w:u w:val="none"/>
          <w:lang w:eastAsia="zh-CN"/>
        </w:rPr>
        <w:t>用</w:t>
      </w:r>
      <w:r>
        <w:rPr>
          <w:rFonts w:hint="eastAsia" w:ascii="仿宋_GB2312" w:hAnsi="仿宋_GB2312" w:eastAsia="仿宋_GB2312" w:cs="仿宋_GB2312"/>
          <w:kern w:val="0"/>
          <w:sz w:val="32"/>
          <w:szCs w:val="32"/>
          <w:u w:val="none"/>
        </w:rPr>
        <w:t>车</w:t>
      </w:r>
    </w:p>
    <w:p w14:paraId="48D14122">
      <w:pPr>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购置时间较长，保养及维修支出增加。</w:t>
      </w:r>
    </w:p>
    <w:p w14:paraId="660A2D1E">
      <w:pPr>
        <w:keepNext w:val="0"/>
        <w:keepLines w:val="0"/>
        <w:pageBreakBefore w:val="0"/>
        <w:widowControl/>
        <w:kinsoku/>
        <w:wordWrap/>
        <w:overflowPunct/>
        <w:topLinePunct w:val="0"/>
        <w:autoSpaceDE/>
        <w:autoSpaceDN/>
        <w:bidi w:val="0"/>
        <w:adjustRightInd/>
        <w:snapToGrid/>
        <w:spacing w:line="560" w:lineRule="atLeast"/>
        <w:ind w:left="0" w:leftChars="0" w:firstLine="497"/>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3.公务接待费支出0.00万元。其中：国内公务接待支出0.00万元，接待0批次，0人次，开支内容：</w:t>
      </w:r>
      <w:bookmarkStart w:id="42" w:name="OLE_LINK16"/>
      <w:r>
        <w:rPr>
          <w:rFonts w:hint="eastAsia" w:ascii="仿宋_GB2312" w:hAnsi="仿宋_GB2312" w:eastAsia="仿宋_GB2312" w:cs="仿宋_GB2312"/>
          <w:kern w:val="0"/>
          <w:sz w:val="32"/>
          <w:szCs w:val="32"/>
          <w:u w:val="none"/>
          <w:lang w:eastAsia="zh-CN"/>
        </w:rPr>
        <w:t>本年度未发生本项内容</w:t>
      </w:r>
      <w:bookmarkEnd w:id="42"/>
      <w:r>
        <w:rPr>
          <w:rFonts w:hint="eastAsia" w:ascii="仿宋_GB2312" w:hAnsi="仿宋_GB2312" w:eastAsia="仿宋_GB2312" w:cs="仿宋_GB2312"/>
          <w:kern w:val="0"/>
          <w:sz w:val="32"/>
          <w:szCs w:val="32"/>
          <w:u w:val="none"/>
        </w:rPr>
        <w:t>；国（境）外公务接待支出0.00万元，接待0批次，0人次，开支内容：</w:t>
      </w:r>
      <w:r>
        <w:rPr>
          <w:rFonts w:hint="eastAsia" w:ascii="仿宋_GB2312" w:hAnsi="仿宋_GB2312" w:eastAsia="仿宋_GB2312" w:cs="仿宋_GB2312"/>
          <w:kern w:val="0"/>
          <w:sz w:val="32"/>
          <w:szCs w:val="32"/>
          <w:u w:val="none"/>
          <w:lang w:eastAsia="zh-CN"/>
        </w:rPr>
        <w:t>本年度未发生本项内容</w:t>
      </w:r>
      <w:r>
        <w:rPr>
          <w:rFonts w:hint="eastAsia" w:ascii="仿宋_GB2312" w:hAnsi="仿宋_GB2312" w:eastAsia="仿宋_GB2312" w:cs="仿宋_GB2312"/>
          <w:kern w:val="0"/>
          <w:sz w:val="32"/>
          <w:szCs w:val="32"/>
          <w:u w:val="none"/>
        </w:rPr>
        <w:t>。与上年决算相比，增加减少 -0.24万元，减少-100.00%，变动原因：</w:t>
      </w:r>
      <w:r>
        <w:rPr>
          <w:rFonts w:hint="eastAsia" w:ascii="仿宋_GB2312" w:hAnsi="仿宋_GB2312" w:eastAsia="仿宋_GB2312" w:cs="仿宋_GB2312"/>
          <w:kern w:val="0"/>
          <w:sz w:val="32"/>
          <w:szCs w:val="32"/>
          <w:u w:val="none"/>
          <w:lang w:eastAsia="zh-CN"/>
        </w:rPr>
        <w:t>本单位严控公务接待支出</w:t>
      </w:r>
      <w:r>
        <w:rPr>
          <w:rFonts w:hint="eastAsia" w:ascii="仿宋_GB2312" w:hAnsi="仿宋_GB2312" w:eastAsia="仿宋_GB2312" w:cs="仿宋_GB2312"/>
          <w:kern w:val="0"/>
          <w:sz w:val="32"/>
          <w:szCs w:val="32"/>
          <w:u w:val="none"/>
        </w:rPr>
        <w:t>。</w:t>
      </w:r>
    </w:p>
    <w:p w14:paraId="5A0BAFD7">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outlineLvl w:val="1"/>
        <w:rPr>
          <w:rFonts w:ascii="Times New Roman" w:hAnsi="Times New Roman" w:eastAsia="Times New Roman" w:cs="Times New Roman"/>
          <w:b w:val="0"/>
          <w:bCs w:val="0"/>
          <w:kern w:val="0"/>
          <w:sz w:val="32"/>
          <w:szCs w:val="32"/>
        </w:rPr>
      </w:pPr>
      <w:bookmarkStart w:id="43" w:name="_Toc22374"/>
      <w:r>
        <w:rPr>
          <w:rFonts w:ascii="黑体" w:hAnsi="黑体" w:eastAsia="黑体" w:cs="黑体"/>
          <w:b w:val="0"/>
          <w:bCs w:val="0"/>
          <w:kern w:val="0"/>
          <w:sz w:val="32"/>
          <w:szCs w:val="32"/>
        </w:rPr>
        <w:t>九、政府性基金预算财政拨款支出决算情况说明</w:t>
      </w:r>
      <w:bookmarkEnd w:id="43"/>
    </w:p>
    <w:p w14:paraId="08E1D7F1">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内蒙古自治区鄂尔多斯市疾病预防控制中心2023年度政府性基金预算财政拨款支出决算0.00万元。与上年决算相比，增加 0.00万元，增长</w:t>
      </w:r>
      <w:r>
        <w:rPr>
          <w:rFonts w:hint="eastAsia" w:ascii="仿宋_GB2312" w:hAnsi="仿宋_GB2312" w:eastAsia="仿宋_GB2312" w:cs="仿宋_GB2312"/>
          <w:kern w:val="0"/>
          <w:sz w:val="32"/>
          <w:szCs w:val="32"/>
          <w:u w:val="none"/>
          <w:lang w:val="en-US" w:eastAsia="zh-CN"/>
        </w:rPr>
        <w:t>0.00</w:t>
      </w:r>
      <w:r>
        <w:rPr>
          <w:rFonts w:hint="eastAsia" w:ascii="仿宋_GB2312" w:hAnsi="仿宋_GB2312" w:eastAsia="仿宋_GB2312" w:cs="仿宋_GB2312"/>
          <w:kern w:val="0"/>
          <w:sz w:val="32"/>
          <w:szCs w:val="32"/>
          <w:u w:val="none"/>
        </w:rPr>
        <w:t>%，变动原因：</w:t>
      </w:r>
      <w:r>
        <w:rPr>
          <w:rFonts w:hint="eastAsia" w:ascii="仿宋_GB2312" w:hAnsi="仿宋_GB2312" w:eastAsia="仿宋_GB2312" w:cs="仿宋_GB2312"/>
          <w:kern w:val="0"/>
          <w:sz w:val="32"/>
          <w:szCs w:val="32"/>
          <w:u w:val="none"/>
          <w:lang w:eastAsia="zh-CN"/>
        </w:rPr>
        <w:t>本单位</w:t>
      </w:r>
      <w:r>
        <w:rPr>
          <w:rFonts w:hint="eastAsia" w:ascii="仿宋_GB2312" w:hAnsi="仿宋_GB2312" w:eastAsia="仿宋_GB2312" w:cs="仿宋_GB2312"/>
          <w:kern w:val="0"/>
          <w:sz w:val="32"/>
          <w:szCs w:val="32"/>
          <w:u w:val="none"/>
        </w:rPr>
        <w:t>无政府性基金预算财政拨款收、支、余。</w:t>
      </w:r>
    </w:p>
    <w:p w14:paraId="2815C3C4">
      <w:pPr>
        <w:keepNext w:val="0"/>
        <w:keepLines w:val="0"/>
        <w:pageBreakBefore w:val="0"/>
        <w:widowControl/>
        <w:suppressLineNumbers w:val="0"/>
        <w:wordWrap/>
        <w:overflowPunct/>
        <w:topLinePunct w:val="0"/>
        <w:bidi w:val="0"/>
        <w:spacing w:beforeAutospacing="0" w:afterAutospacing="0" w:line="560" w:lineRule="atLeast"/>
        <w:ind w:left="0" w:leftChars="0" w:right="0" w:firstLine="640" w:firstLineChars="200"/>
        <w:jc w:val="both"/>
        <w:outlineLvl w:val="1"/>
        <w:rPr>
          <w:rFonts w:ascii="Times New Roman" w:hAnsi="Times New Roman" w:eastAsia="Times New Roman" w:cs="Times New Roman"/>
          <w:b w:val="0"/>
          <w:bCs w:val="0"/>
          <w:kern w:val="0"/>
          <w:sz w:val="32"/>
          <w:szCs w:val="32"/>
        </w:rPr>
      </w:pPr>
      <w:bookmarkStart w:id="44" w:name="_Toc3145"/>
      <w:r>
        <w:rPr>
          <w:rFonts w:ascii="黑体" w:hAnsi="黑体" w:eastAsia="黑体" w:cs="黑体"/>
          <w:b w:val="0"/>
          <w:bCs w:val="0"/>
          <w:kern w:val="0"/>
          <w:sz w:val="32"/>
          <w:szCs w:val="32"/>
        </w:rPr>
        <w:t>十、国有资本经营预算财政拨款支出决算情况说明</w:t>
      </w:r>
      <w:bookmarkEnd w:id="44"/>
    </w:p>
    <w:p w14:paraId="55D3F783">
      <w:pPr>
        <w:keepNext w:val="0"/>
        <w:keepLines w:val="0"/>
        <w:pageBreakBefore w:val="0"/>
        <w:widowControl/>
        <w:wordWrap/>
        <w:overflowPunct/>
        <w:topLinePunct w:val="0"/>
        <w:bidi w:val="0"/>
        <w:spacing w:line="560" w:lineRule="atLeast"/>
        <w:ind w:left="0" w:leftChars="0"/>
        <w:rPr>
          <w:rFonts w:hint="eastAsia" w:ascii="仿宋_GB2312" w:hAnsi="仿宋_GB2312" w:eastAsia="仿宋_GB2312" w:cs="仿宋_GB2312"/>
          <w:kern w:val="0"/>
          <w:sz w:val="32"/>
          <w:szCs w:val="32"/>
          <w:u w:val="none"/>
          <w:lang w:eastAsia="zh-CN"/>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内蒙古自治区鄂尔多斯市疾病预防控制中心2023年度国有资本经营预算财政拨款支出决算0.00万元。与上年决算相比，增加0.00万元，增长</w:t>
      </w:r>
      <w:r>
        <w:rPr>
          <w:rFonts w:hint="eastAsia" w:ascii="仿宋_GB2312" w:hAnsi="仿宋_GB2312" w:eastAsia="仿宋_GB2312" w:cs="仿宋_GB2312"/>
          <w:kern w:val="0"/>
          <w:sz w:val="32"/>
          <w:szCs w:val="32"/>
          <w:u w:val="none"/>
          <w:lang w:val="en-US" w:eastAsia="zh-CN"/>
        </w:rPr>
        <w:t>0.00</w:t>
      </w:r>
      <w:r>
        <w:rPr>
          <w:rFonts w:hint="eastAsia" w:ascii="仿宋_GB2312" w:hAnsi="仿宋_GB2312" w:eastAsia="仿宋_GB2312" w:cs="仿宋_GB2312"/>
          <w:kern w:val="0"/>
          <w:sz w:val="32"/>
          <w:szCs w:val="32"/>
          <w:u w:val="none"/>
        </w:rPr>
        <w:t>%，变动原因：本单位无国有资本经营预算财政拨款收、支、余</w:t>
      </w:r>
      <w:r>
        <w:rPr>
          <w:rFonts w:hint="eastAsia" w:ascii="仿宋_GB2312" w:hAnsi="仿宋_GB2312" w:eastAsia="仿宋_GB2312" w:cs="仿宋_GB2312"/>
          <w:kern w:val="0"/>
          <w:sz w:val="32"/>
          <w:szCs w:val="32"/>
          <w:u w:val="none"/>
          <w:lang w:eastAsia="zh-CN"/>
        </w:rPr>
        <w:t>。</w:t>
      </w:r>
    </w:p>
    <w:p w14:paraId="33F76F18">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outlineLvl w:val="1"/>
        <w:rPr>
          <w:rFonts w:ascii="Times New Roman" w:hAnsi="Times New Roman" w:eastAsia="Times New Roman" w:cs="Times New Roman"/>
          <w:kern w:val="0"/>
          <w:sz w:val="32"/>
          <w:szCs w:val="32"/>
        </w:rPr>
      </w:pPr>
      <w:bookmarkStart w:id="45" w:name="_Toc5516"/>
      <w:r>
        <w:rPr>
          <w:rFonts w:ascii="黑体" w:hAnsi="黑体" w:eastAsia="黑体" w:cs="黑体"/>
          <w:b w:val="0"/>
          <w:bCs w:val="0"/>
          <w:kern w:val="0"/>
          <w:sz w:val="32"/>
          <w:szCs w:val="32"/>
        </w:rPr>
        <w:t>十一、机构运行经费支出决算情况说明</w:t>
      </w:r>
      <w:bookmarkEnd w:id="45"/>
    </w:p>
    <w:p w14:paraId="0160ED50">
      <w:pPr>
        <w:keepNext w:val="0"/>
        <w:keepLines w:val="0"/>
        <w:pageBreakBefore w:val="0"/>
        <w:widowControl/>
        <w:wordWrap/>
        <w:overflowPunct/>
        <w:topLinePunct w:val="0"/>
        <w:bidi w:val="0"/>
        <w:spacing w:line="560" w:lineRule="atLeast"/>
        <w:ind w:left="0" w:leftChars="0"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内蒙古自治区鄂尔多斯市疾病预防控制中心2023年度机构运行经费支出决算786.45万元。比上年决算相比，增加17.82万元，增长2.32%，变动原因：</w:t>
      </w:r>
      <w:r>
        <w:rPr>
          <w:rFonts w:hint="eastAsia" w:ascii="仿宋_GB2312" w:hAnsi="仿宋_GB2312" w:eastAsia="仿宋_GB2312" w:cs="仿宋_GB2312"/>
          <w:kern w:val="0"/>
          <w:sz w:val="32"/>
          <w:szCs w:val="32"/>
          <w:u w:val="none"/>
          <w:lang w:eastAsia="zh-CN"/>
        </w:rPr>
        <w:t>本年增加新建卫生健康大厦实验楼取暖费和物业管理费</w:t>
      </w:r>
      <w:r>
        <w:rPr>
          <w:rFonts w:hint="eastAsia" w:ascii="仿宋_GB2312" w:hAnsi="仿宋_GB2312" w:eastAsia="仿宋_GB2312" w:cs="仿宋_GB2312"/>
          <w:kern w:val="0"/>
          <w:sz w:val="32"/>
          <w:szCs w:val="32"/>
          <w:u w:val="none"/>
        </w:rPr>
        <w:t>。</w:t>
      </w:r>
    </w:p>
    <w:p w14:paraId="17ECF607">
      <w:pPr>
        <w:keepNext w:val="0"/>
        <w:keepLines w:val="0"/>
        <w:pageBreakBefore w:val="0"/>
        <w:widowControl/>
        <w:wordWrap/>
        <w:overflowPunct/>
        <w:topLinePunct w:val="0"/>
        <w:bidi w:val="0"/>
        <w:spacing w:line="560" w:lineRule="atLeast"/>
        <w:ind w:left="0" w:leftChars="0" w:firstLine="640" w:firstLineChars="200"/>
        <w:outlineLvl w:val="1"/>
        <w:rPr>
          <w:rFonts w:ascii="Times New Roman" w:hAnsi="Times New Roman" w:eastAsia="Times New Roman" w:cs="Times New Roman"/>
          <w:kern w:val="0"/>
          <w:sz w:val="32"/>
          <w:szCs w:val="32"/>
        </w:rPr>
      </w:pPr>
      <w:bookmarkStart w:id="46" w:name="_Toc24818"/>
      <w:r>
        <w:rPr>
          <w:rFonts w:ascii="黑体" w:hAnsi="黑体" w:eastAsia="黑体" w:cs="黑体"/>
          <w:b w:val="0"/>
          <w:bCs w:val="0"/>
          <w:kern w:val="0"/>
          <w:sz w:val="32"/>
          <w:szCs w:val="32"/>
        </w:rPr>
        <w:t>十二、政府采购支出决算情况说明</w:t>
      </w:r>
      <w:bookmarkEnd w:id="46"/>
    </w:p>
    <w:p w14:paraId="7B14007E">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kern w:val="0"/>
          <w:sz w:val="32"/>
          <w:szCs w:val="32"/>
          <w:u w:val="none"/>
        </w:rPr>
        <w:t>内蒙古自治区鄂尔多斯市疾病预防控制中心2023年度政府采购支出总额2,454.60万元，其中：政府采购货物支出2,191.89万元、政府采购工程支出0.00万元、政府采购服务支出262.71万元。政府采购授予中小企业合同金额2,349.30万元，占政府采购支出总额的</w:t>
      </w:r>
      <w:r>
        <w:rPr>
          <w:rFonts w:hint="eastAsia" w:ascii="仿宋_GB2312" w:hAnsi="仿宋_GB2312" w:eastAsia="仿宋_GB2312" w:cs="仿宋_GB2312"/>
          <w:kern w:val="0"/>
          <w:sz w:val="32"/>
          <w:szCs w:val="32"/>
          <w:u w:val="none"/>
          <w:lang w:val="en-US" w:eastAsia="zh-CN"/>
        </w:rPr>
        <w:t>95.71</w:t>
      </w:r>
      <w:r>
        <w:rPr>
          <w:rFonts w:hint="eastAsia" w:ascii="仿宋_GB2312" w:hAnsi="仿宋_GB2312" w:eastAsia="仿宋_GB2312" w:cs="仿宋_GB2312"/>
          <w:kern w:val="0"/>
          <w:sz w:val="32"/>
          <w:szCs w:val="32"/>
          <w:u w:val="none"/>
        </w:rPr>
        <w:t>%，其中：授予小微企业合同金额 2,134.88万元，占政府采购支出总额的</w:t>
      </w:r>
      <w:r>
        <w:rPr>
          <w:rFonts w:hint="eastAsia" w:ascii="仿宋_GB2312" w:hAnsi="仿宋_GB2312" w:eastAsia="仿宋_GB2312" w:cs="仿宋_GB2312"/>
          <w:kern w:val="0"/>
          <w:sz w:val="32"/>
          <w:szCs w:val="32"/>
          <w:u w:val="none"/>
          <w:lang w:val="en-US" w:eastAsia="zh-CN"/>
        </w:rPr>
        <w:t>86.97</w:t>
      </w:r>
      <w:r>
        <w:rPr>
          <w:rFonts w:hint="eastAsia" w:ascii="仿宋_GB2312" w:hAnsi="仿宋_GB2312" w:eastAsia="仿宋_GB2312" w:cs="仿宋_GB2312"/>
          <w:kern w:val="0"/>
          <w:sz w:val="32"/>
          <w:szCs w:val="32"/>
          <w:highlight w:val="none"/>
          <w:u w:val="none"/>
        </w:rPr>
        <w:t>%；货物采购授予中小企业合同金额占货物支出金额的</w:t>
      </w:r>
      <w:r>
        <w:rPr>
          <w:rFonts w:hint="eastAsia" w:ascii="仿宋_GB2312" w:hAnsi="仿宋_GB2312" w:eastAsia="仿宋_GB2312" w:cs="仿宋_GB2312"/>
          <w:kern w:val="0"/>
          <w:sz w:val="32"/>
          <w:szCs w:val="32"/>
          <w:highlight w:val="none"/>
          <w:u w:val="none"/>
          <w:lang w:val="en-US" w:eastAsia="zh-CN"/>
        </w:rPr>
        <w:t>96.28</w:t>
      </w:r>
      <w:r>
        <w:rPr>
          <w:rFonts w:hint="eastAsia" w:ascii="仿宋_GB2312" w:hAnsi="仿宋_GB2312" w:eastAsia="仿宋_GB2312" w:cs="仿宋_GB2312"/>
          <w:kern w:val="0"/>
          <w:sz w:val="32"/>
          <w:szCs w:val="32"/>
          <w:highlight w:val="none"/>
          <w:u w:val="none"/>
        </w:rPr>
        <w:t>%，工程采购授予中小企业合同金额占工程支出金额的</w:t>
      </w:r>
      <w:r>
        <w:rPr>
          <w:rFonts w:hint="eastAsia" w:ascii="仿宋_GB2312" w:hAnsi="仿宋_GB2312" w:eastAsia="仿宋_GB2312" w:cs="仿宋_GB2312"/>
          <w:kern w:val="0"/>
          <w:sz w:val="32"/>
          <w:szCs w:val="32"/>
          <w:highlight w:val="none"/>
          <w:u w:val="none"/>
          <w:lang w:val="en-US" w:eastAsia="zh-CN"/>
        </w:rPr>
        <w:t>0.00</w:t>
      </w:r>
      <w:r>
        <w:rPr>
          <w:rFonts w:hint="eastAsia" w:ascii="仿宋_GB2312" w:hAnsi="仿宋_GB2312" w:eastAsia="仿宋_GB2312" w:cs="仿宋_GB2312"/>
          <w:kern w:val="0"/>
          <w:sz w:val="32"/>
          <w:szCs w:val="32"/>
          <w:highlight w:val="none"/>
          <w:u w:val="none"/>
        </w:rPr>
        <w:t>%，服务采购授予中小企业合同金额占服务支出金额的</w:t>
      </w:r>
      <w:r>
        <w:rPr>
          <w:rFonts w:hint="eastAsia" w:ascii="仿宋_GB2312" w:hAnsi="仿宋_GB2312" w:eastAsia="仿宋_GB2312" w:cs="仿宋_GB2312"/>
          <w:kern w:val="0"/>
          <w:sz w:val="32"/>
          <w:szCs w:val="32"/>
          <w:highlight w:val="none"/>
          <w:u w:val="none"/>
          <w:lang w:val="en-US" w:eastAsia="zh-CN"/>
        </w:rPr>
        <w:t>83.69</w:t>
      </w:r>
      <w:r>
        <w:rPr>
          <w:rFonts w:hint="eastAsia" w:ascii="仿宋_GB2312" w:hAnsi="仿宋_GB2312" w:eastAsia="仿宋_GB2312" w:cs="仿宋_GB2312"/>
          <w:kern w:val="0"/>
          <w:sz w:val="32"/>
          <w:szCs w:val="32"/>
          <w:highlight w:val="none"/>
          <w:u w:val="none"/>
        </w:rPr>
        <w:t>%。</w:t>
      </w:r>
    </w:p>
    <w:p w14:paraId="4DFA2C6C">
      <w:pPr>
        <w:keepNext w:val="0"/>
        <w:keepLines w:val="0"/>
        <w:pageBreakBefore w:val="0"/>
        <w:widowControl/>
        <w:wordWrap/>
        <w:overflowPunct/>
        <w:topLinePunct w:val="0"/>
        <w:bidi w:val="0"/>
        <w:spacing w:line="560" w:lineRule="atLeast"/>
        <w:ind w:left="0" w:leftChars="0" w:firstLine="640" w:firstLineChars="200"/>
        <w:outlineLvl w:val="1"/>
        <w:rPr>
          <w:rFonts w:ascii="Times New Roman" w:hAnsi="Times New Roman" w:eastAsia="Times New Roman" w:cs="Times New Roman"/>
          <w:b w:val="0"/>
          <w:bCs w:val="0"/>
          <w:kern w:val="0"/>
          <w:sz w:val="32"/>
          <w:szCs w:val="32"/>
        </w:rPr>
      </w:pPr>
      <w:bookmarkStart w:id="47" w:name="_Toc27747"/>
      <w:r>
        <w:rPr>
          <w:rFonts w:ascii="黑体" w:hAnsi="黑体" w:eastAsia="黑体" w:cs="黑体"/>
          <w:b w:val="0"/>
          <w:bCs w:val="0"/>
          <w:kern w:val="0"/>
          <w:sz w:val="32"/>
          <w:szCs w:val="32"/>
        </w:rPr>
        <w:t>十三、国有资产占用情况说明</w:t>
      </w:r>
      <w:bookmarkEnd w:id="47"/>
    </w:p>
    <w:p w14:paraId="35C9FC2D">
      <w:pPr>
        <w:keepNext w:val="0"/>
        <w:keepLines w:val="0"/>
        <w:pageBreakBefore w:val="0"/>
        <w:widowControl/>
        <w:wordWrap/>
        <w:overflowPunct/>
        <w:topLinePunct w:val="0"/>
        <w:bidi w:val="0"/>
        <w:spacing w:line="560" w:lineRule="atLeast"/>
        <w:ind w:left="0" w:leftChars="0"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内蒙古自治区鄂尔多斯市疾病预防控制中心截至2023年12月31日，本单位共有车辆16辆，其中：副部（省）级及以上领导用车0辆、主要负责人用车0辆、机要通信用车0辆、应急保障用车0辆、执法执勤用车0辆、特种专业技术用车5辆、离退休干部服务用车0辆，其他用车11辆；单价100万元（含）以上的设备（不含车辆）21台（套）。</w:t>
      </w:r>
    </w:p>
    <w:p w14:paraId="0E0BF788">
      <w:pPr>
        <w:keepNext w:val="0"/>
        <w:keepLines w:val="0"/>
        <w:pageBreakBefore w:val="0"/>
        <w:widowControl/>
        <w:numPr>
          <w:ilvl w:val="0"/>
          <w:numId w:val="0"/>
        </w:numPr>
        <w:wordWrap/>
        <w:overflowPunct/>
        <w:topLinePunct w:val="0"/>
        <w:bidi w:val="0"/>
        <w:spacing w:line="560" w:lineRule="atLeast"/>
        <w:ind w:left="0" w:leftChars="0" w:firstLine="640" w:firstLineChars="200"/>
        <w:outlineLvl w:val="1"/>
        <w:rPr>
          <w:rFonts w:ascii="黑体" w:hAnsi="黑体" w:eastAsia="黑体" w:cs="黑体"/>
          <w:b w:val="0"/>
          <w:bCs w:val="0"/>
          <w:kern w:val="0"/>
          <w:sz w:val="32"/>
          <w:szCs w:val="32"/>
        </w:rPr>
      </w:pPr>
      <w:bookmarkStart w:id="48" w:name="_Toc22423"/>
      <w:r>
        <w:rPr>
          <w:rFonts w:hint="eastAsia" w:ascii="黑体" w:hAnsi="黑体" w:eastAsia="黑体" w:cs="黑体"/>
          <w:b w:val="0"/>
          <w:bCs w:val="0"/>
          <w:kern w:val="0"/>
          <w:sz w:val="32"/>
          <w:szCs w:val="32"/>
          <w:lang w:eastAsia="zh-CN"/>
        </w:rPr>
        <w:t>十四、</w:t>
      </w:r>
      <w:r>
        <w:rPr>
          <w:rFonts w:ascii="黑体" w:hAnsi="黑体" w:eastAsia="黑体" w:cs="黑体"/>
          <w:b w:val="0"/>
          <w:bCs w:val="0"/>
          <w:kern w:val="0"/>
          <w:sz w:val="32"/>
          <w:szCs w:val="32"/>
        </w:rPr>
        <w:t>预算绩效情况说明</w:t>
      </w:r>
      <w:bookmarkEnd w:id="48"/>
    </w:p>
    <w:p w14:paraId="33433DBC">
      <w:pPr>
        <w:keepNext w:val="0"/>
        <w:keepLines w:val="0"/>
        <w:pageBreakBefore w:val="0"/>
        <w:widowControl/>
        <w:numPr>
          <w:ilvl w:val="0"/>
          <w:numId w:val="0"/>
        </w:numPr>
        <w:wordWrap/>
        <w:overflowPunct/>
        <w:topLinePunct w:val="0"/>
        <w:bidi w:val="0"/>
        <w:spacing w:line="560" w:lineRule="atLeast"/>
        <w:ind w:left="0" w:leftChars="0" w:firstLine="640" w:firstLineChars="20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预算绩效管理工作开展情况</w:t>
      </w:r>
    </w:p>
    <w:p w14:paraId="4E9CC353">
      <w:pPr>
        <w:keepNext w:val="0"/>
        <w:keepLines w:val="0"/>
        <w:pageBreakBefore w:val="0"/>
        <w:widowControl/>
        <w:numPr>
          <w:ilvl w:val="0"/>
          <w:numId w:val="0"/>
        </w:numPr>
        <w:wordWrap/>
        <w:overflowPunct/>
        <w:topLinePunct w:val="0"/>
        <w:bidi w:val="0"/>
        <w:spacing w:line="560" w:lineRule="atLeast"/>
        <w:ind w:left="0" w:leftChars="0" w:firstLine="640" w:firstLineChars="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内蒙古自治区鄂尔多斯市疾病预防控制中心根据预算绩效管理要求组织对2023年一般公共预算项目支出全面开展绩效自评，其中一级项目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个，二级项目</w:t>
      </w:r>
      <w:r>
        <w:rPr>
          <w:rFonts w:hint="eastAsia" w:ascii="仿宋_GB2312" w:hAnsi="仿宋_GB2312" w:eastAsia="仿宋_GB2312" w:cs="仿宋_GB2312"/>
          <w:kern w:val="0"/>
          <w:sz w:val="32"/>
          <w:szCs w:val="32"/>
          <w:u w:val="none"/>
          <w:lang w:val="en-US" w:eastAsia="zh-CN"/>
        </w:rPr>
        <w:t>39</w:t>
      </w:r>
      <w:r>
        <w:rPr>
          <w:rFonts w:hint="eastAsia" w:ascii="仿宋_GB2312" w:hAnsi="仿宋_GB2312" w:eastAsia="仿宋_GB2312" w:cs="仿宋_GB2312"/>
          <w:kern w:val="0"/>
          <w:sz w:val="32"/>
          <w:szCs w:val="32"/>
          <w:u w:val="none"/>
        </w:rPr>
        <w:t>个，共涉及资金</w:t>
      </w:r>
      <w:r>
        <w:rPr>
          <w:rFonts w:hint="eastAsia" w:ascii="仿宋_GB2312" w:hAnsi="仿宋_GB2312" w:eastAsia="仿宋_GB2312" w:cs="仿宋_GB2312"/>
          <w:kern w:val="0"/>
          <w:sz w:val="32"/>
          <w:szCs w:val="32"/>
          <w:u w:val="none"/>
          <w:lang w:val="en-US" w:eastAsia="zh-CN"/>
        </w:rPr>
        <w:t>5031.24</w:t>
      </w:r>
      <w:r>
        <w:rPr>
          <w:rFonts w:hint="eastAsia" w:ascii="仿宋_GB2312" w:hAnsi="仿宋_GB2312" w:eastAsia="仿宋_GB2312" w:cs="仿宋_GB2312"/>
          <w:kern w:val="0"/>
          <w:sz w:val="32"/>
          <w:szCs w:val="32"/>
          <w:u w:val="none"/>
        </w:rPr>
        <w:t>万元，占一般公共预算项目支出总额的100%；政府性基金预算项目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个，其中</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一级项目 </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个</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二级项目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个，共涉及资金</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万元，占应纳入绩效自评的政府性基金预算项目支出总额的</w:t>
      </w:r>
      <w:r>
        <w:rPr>
          <w:rFonts w:hint="eastAsia" w:ascii="仿宋_GB2312" w:hAnsi="仿宋_GB2312" w:eastAsia="仿宋_GB2312" w:cs="仿宋_GB2312"/>
          <w:kern w:val="0"/>
          <w:sz w:val="32"/>
          <w:szCs w:val="32"/>
          <w:u w:val="none"/>
          <w:lang w:val="en-US" w:eastAsia="zh-CN"/>
        </w:rPr>
        <w:t>0.00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p>
    <w:p w14:paraId="29E8824D">
      <w:pPr>
        <w:keepNext w:val="0"/>
        <w:keepLines w:val="0"/>
        <w:pageBreakBefore w:val="0"/>
        <w:widowControl/>
        <w:numPr>
          <w:ilvl w:val="0"/>
          <w:numId w:val="0"/>
        </w:numPr>
        <w:wordWrap/>
        <w:overflowPunct/>
        <w:topLinePunct w:val="0"/>
        <w:bidi w:val="0"/>
        <w:spacing w:line="560" w:lineRule="atLeast"/>
        <w:ind w:left="0" w:leftChars="0"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本单位无重点绩效评价项目。</w:t>
      </w:r>
    </w:p>
    <w:p w14:paraId="25644DE2">
      <w:pPr>
        <w:keepNext w:val="0"/>
        <w:keepLines w:val="0"/>
        <w:pageBreakBefore w:val="0"/>
        <w:widowControl/>
        <w:wordWrap/>
        <w:overflowPunct/>
        <w:topLinePunct w:val="0"/>
        <w:bidi w:val="0"/>
        <w:spacing w:line="560" w:lineRule="atLeast"/>
        <w:ind w:left="0" w:leftChars="0"/>
        <w:jc w:val="left"/>
        <w:rPr>
          <w:rFonts w:hint="eastAsia" w:ascii="楷体_GB2312" w:hAnsi="楷体_GB2312" w:eastAsia="楷体_GB2312" w:cs="楷体_GB2312"/>
          <w:b w:val="0"/>
          <w:bCs w:val="0"/>
          <w:kern w:val="0"/>
          <w:sz w:val="32"/>
          <w:szCs w:val="32"/>
        </w:rPr>
      </w:pPr>
      <w:r>
        <w:rPr>
          <w:rFonts w:ascii="kai_ti_gb2312" w:hAnsi="kai_ti_gb2312" w:eastAsia="kai_ti_gb2312" w:cs="kai_ti_gb2312"/>
          <w:b/>
          <w:bCs/>
          <w:kern w:val="0"/>
          <w:sz w:val="27"/>
          <w:szCs w:val="27"/>
        </w:rPr>
        <w:t>   </w:t>
      </w:r>
      <w:r>
        <w:rPr>
          <w:rFonts w:hint="eastAsia" w:ascii="楷体_GB2312" w:hAnsi="楷体_GB2312" w:eastAsia="楷体_GB2312" w:cs="楷体_GB2312"/>
          <w:b w:val="0"/>
          <w:bCs w:val="0"/>
          <w:kern w:val="0"/>
          <w:sz w:val="32"/>
          <w:szCs w:val="32"/>
        </w:rPr>
        <w:t xml:space="preserve"> （二）单位决算中项目绩效自评结果</w:t>
      </w:r>
    </w:p>
    <w:p w14:paraId="0C33CC8F">
      <w:pPr>
        <w:keepNext w:val="0"/>
        <w:keepLines w:val="0"/>
        <w:pageBreakBefore w:val="0"/>
        <w:widowControl/>
        <w:kinsoku/>
        <w:wordWrap/>
        <w:overflowPunct/>
        <w:topLinePunct w:val="0"/>
        <w:autoSpaceDE/>
        <w:autoSpaceDN/>
        <w:bidi w:val="0"/>
        <w:adjustRightInd/>
        <w:snapToGrid/>
        <w:spacing w:line="560" w:lineRule="atLeast"/>
        <w:ind w:left="0" w:leftChars="0"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内蒙古自治区鄂尔多斯市疾病预防控制中心2023年度在决算中</w:t>
      </w:r>
      <w:r>
        <w:rPr>
          <w:rFonts w:hint="eastAsia" w:ascii="仿宋_GB2312" w:hAnsi="仿宋_GB2312" w:eastAsia="仿宋_GB2312" w:cs="仿宋_GB2312"/>
          <w:kern w:val="0"/>
          <w:sz w:val="32"/>
          <w:szCs w:val="32"/>
          <w:highlight w:val="none"/>
          <w:u w:val="none"/>
        </w:rPr>
        <w:t>反映</w:t>
      </w:r>
      <w:r>
        <w:rPr>
          <w:rFonts w:hint="eastAsia" w:ascii="仿宋_GB2312" w:hAnsi="仿宋_GB2312" w:eastAsia="仿宋_GB2312" w:cs="仿宋_GB2312"/>
          <w:kern w:val="0"/>
          <w:sz w:val="32"/>
          <w:szCs w:val="32"/>
          <w:highlight w:val="none"/>
          <w:u w:val="none"/>
          <w:lang w:val="en-US" w:eastAsia="zh-CN"/>
        </w:rPr>
        <w:t>5</w:t>
      </w:r>
      <w:r>
        <w:rPr>
          <w:rFonts w:hint="eastAsia" w:ascii="仿宋_GB2312" w:hAnsi="仿宋_GB2312" w:eastAsia="仿宋_GB2312" w:cs="仿宋_GB2312"/>
          <w:kern w:val="0"/>
          <w:sz w:val="32"/>
          <w:szCs w:val="32"/>
          <w:highlight w:val="none"/>
          <w:u w:val="none"/>
        </w:rPr>
        <w:t>个一般公共预</w:t>
      </w:r>
      <w:r>
        <w:rPr>
          <w:rFonts w:hint="eastAsia" w:ascii="仿宋_GB2312" w:hAnsi="仿宋_GB2312" w:eastAsia="仿宋_GB2312" w:cs="仿宋_GB2312"/>
          <w:kern w:val="0"/>
          <w:sz w:val="32"/>
          <w:szCs w:val="32"/>
          <w:u w:val="none"/>
        </w:rPr>
        <w:t>算项目</w:t>
      </w:r>
      <w:r>
        <w:rPr>
          <w:rFonts w:hint="eastAsia" w:ascii="仿宋_GB2312" w:hAnsi="仿宋_GB2312" w:eastAsia="仿宋_GB2312" w:cs="仿宋_GB2312"/>
          <w:kern w:val="0"/>
          <w:sz w:val="32"/>
          <w:szCs w:val="32"/>
          <w:u w:val="none"/>
          <w:lang w:eastAsia="zh-CN"/>
        </w:rPr>
        <w:t>以及</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lang w:eastAsia="zh-CN"/>
        </w:rPr>
        <w:t>个政府性基金项目，</w:t>
      </w:r>
      <w:r>
        <w:rPr>
          <w:rFonts w:hint="eastAsia" w:ascii="仿宋_GB2312" w:hAnsi="仿宋_GB2312" w:eastAsia="仿宋_GB2312" w:cs="仿宋_GB2312"/>
          <w:kern w:val="0"/>
          <w:sz w:val="32"/>
          <w:szCs w:val="32"/>
          <w:u w:val="none"/>
        </w:rPr>
        <w:t>共</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个项目的绩效自评结果</w:t>
      </w:r>
      <w:r>
        <w:rPr>
          <w:rFonts w:hint="eastAsia" w:ascii="仿宋_GB2312" w:hAnsi="仿宋_GB2312" w:eastAsia="仿宋_GB2312" w:cs="仿宋_GB2312"/>
          <w:kern w:val="0"/>
          <w:sz w:val="32"/>
          <w:szCs w:val="32"/>
          <w:u w:val="none"/>
          <w:lang w:eastAsia="zh-CN"/>
        </w:rPr>
        <w:t>。</w:t>
      </w:r>
    </w:p>
    <w:p w14:paraId="6F9DB53C">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lang w:eastAsia="zh-CN"/>
        </w:rPr>
        <w:t>“</w:t>
      </w:r>
      <w:bookmarkStart w:id="49" w:name="OLE_LINK18"/>
      <w:r>
        <w:rPr>
          <w:rFonts w:hint="eastAsia" w:ascii="仿宋_GB2312" w:hAnsi="仿宋_GB2312" w:eastAsia="仿宋_GB2312" w:cs="仿宋_GB2312"/>
          <w:kern w:val="0"/>
          <w:sz w:val="32"/>
          <w:szCs w:val="32"/>
          <w:u w:val="none"/>
        </w:rPr>
        <w:t>慢性病</w:t>
      </w:r>
      <w:bookmarkEnd w:id="49"/>
      <w:r>
        <w:rPr>
          <w:rFonts w:hint="eastAsia" w:ascii="仿宋_GB2312" w:hAnsi="仿宋_GB2312" w:eastAsia="仿宋_GB2312" w:cs="仿宋_GB2312"/>
          <w:kern w:val="0"/>
          <w:sz w:val="32"/>
          <w:szCs w:val="32"/>
          <w:u w:val="none"/>
        </w:rPr>
        <w:t>公共卫生考核及</w:t>
      </w:r>
      <w:bookmarkStart w:id="50" w:name="OLE_LINK19"/>
      <w:r>
        <w:rPr>
          <w:rFonts w:hint="eastAsia" w:ascii="仿宋_GB2312" w:hAnsi="仿宋_GB2312" w:eastAsia="仿宋_GB2312" w:cs="仿宋_GB2312"/>
          <w:kern w:val="0"/>
          <w:sz w:val="32"/>
          <w:szCs w:val="32"/>
          <w:u w:val="none"/>
        </w:rPr>
        <w:t>社会影响因素状况调查</w:t>
      </w:r>
      <w:bookmarkEnd w:id="50"/>
      <w:r>
        <w:rPr>
          <w:rFonts w:hint="eastAsia" w:ascii="仿宋_GB2312" w:hAnsi="仿宋_GB2312" w:eastAsia="仿宋_GB2312" w:cs="仿宋_GB2312"/>
          <w:kern w:val="0"/>
          <w:sz w:val="32"/>
          <w:szCs w:val="32"/>
          <w:u w:val="none"/>
        </w:rPr>
        <w:t>和重点传染病经费及健康科普知识教育经费”项目自评综述：</w:t>
      </w:r>
      <w:bookmarkStart w:id="51" w:name="OLE_LINK21"/>
      <w:r>
        <w:rPr>
          <w:rFonts w:hint="eastAsia" w:ascii="仿宋_GB2312" w:hAnsi="仿宋_GB2312" w:eastAsia="仿宋_GB2312" w:cs="仿宋_GB2312"/>
          <w:kern w:val="0"/>
          <w:sz w:val="32"/>
          <w:szCs w:val="32"/>
          <w:u w:val="none"/>
        </w:rPr>
        <w:t>根据年初设定的绩效目标，项目自评得分</w:t>
      </w:r>
      <w:r>
        <w:rPr>
          <w:rFonts w:hint="eastAsia" w:ascii="仿宋_GB2312" w:hAnsi="仿宋_GB2312" w:eastAsia="仿宋_GB2312" w:cs="仿宋_GB2312"/>
          <w:kern w:val="0"/>
          <w:sz w:val="32"/>
          <w:szCs w:val="32"/>
          <w:u w:val="none"/>
          <w:lang w:val="en-US" w:eastAsia="zh-CN"/>
        </w:rPr>
        <w:t>95.99</w:t>
      </w:r>
      <w:r>
        <w:rPr>
          <w:rFonts w:hint="eastAsia" w:ascii="仿宋_GB2312" w:hAnsi="仿宋_GB2312" w:eastAsia="仿宋_GB2312" w:cs="仿宋_GB2312"/>
          <w:kern w:val="0"/>
          <w:sz w:val="32"/>
          <w:szCs w:val="32"/>
          <w:u w:val="none"/>
        </w:rPr>
        <w:t>分。全年预算数为</w:t>
      </w:r>
      <w:r>
        <w:rPr>
          <w:rFonts w:hint="eastAsia" w:ascii="仿宋_GB2312" w:hAnsi="仿宋_GB2312" w:eastAsia="仿宋_GB2312" w:cs="仿宋_GB2312"/>
          <w:kern w:val="0"/>
          <w:sz w:val="32"/>
          <w:szCs w:val="32"/>
          <w:u w:val="none"/>
          <w:lang w:val="en-US" w:eastAsia="zh-CN"/>
        </w:rPr>
        <w:t>80</w:t>
      </w:r>
      <w:r>
        <w:rPr>
          <w:rFonts w:hint="eastAsia" w:ascii="仿宋_GB2312" w:hAnsi="仿宋_GB2312" w:eastAsia="仿宋_GB2312" w:cs="仿宋_GB2312"/>
          <w:kern w:val="0"/>
          <w:sz w:val="32"/>
          <w:szCs w:val="32"/>
          <w:u w:val="none"/>
        </w:rPr>
        <w:t>万元，执行数为</w:t>
      </w:r>
      <w:r>
        <w:rPr>
          <w:rFonts w:hint="eastAsia" w:ascii="仿宋_GB2312" w:hAnsi="仿宋_GB2312" w:eastAsia="仿宋_GB2312" w:cs="仿宋_GB2312"/>
          <w:kern w:val="0"/>
          <w:sz w:val="32"/>
          <w:szCs w:val="32"/>
          <w:u w:val="none"/>
          <w:lang w:val="en-US" w:eastAsia="zh-CN"/>
        </w:rPr>
        <w:t>79.92</w:t>
      </w:r>
      <w:r>
        <w:rPr>
          <w:rFonts w:hint="eastAsia" w:ascii="仿宋_GB2312" w:hAnsi="仿宋_GB2312" w:eastAsia="仿宋_GB2312" w:cs="仿宋_GB2312"/>
          <w:kern w:val="0"/>
          <w:sz w:val="32"/>
          <w:szCs w:val="32"/>
          <w:u w:val="none"/>
        </w:rPr>
        <w:t>万元，完成预算的</w:t>
      </w:r>
      <w:r>
        <w:rPr>
          <w:rFonts w:hint="eastAsia" w:ascii="仿宋_GB2312" w:hAnsi="仿宋_GB2312" w:eastAsia="仿宋_GB2312" w:cs="仿宋_GB2312"/>
          <w:kern w:val="0"/>
          <w:sz w:val="32"/>
          <w:szCs w:val="32"/>
          <w:u w:val="none"/>
          <w:lang w:val="en-US" w:eastAsia="zh-CN"/>
        </w:rPr>
        <w:t>99.9</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highlight w:val="none"/>
          <w:u w:val="none"/>
        </w:rPr>
        <w:t>项目绩效目标完成情况：</w:t>
      </w:r>
      <w:bookmarkEnd w:id="51"/>
      <w:bookmarkStart w:id="52" w:name="OLE_LINK22"/>
      <w:r>
        <w:rPr>
          <w:rFonts w:hint="eastAsia" w:ascii="仿宋_GB2312" w:hAnsi="仿宋_GB2312" w:eastAsia="仿宋_GB2312" w:cs="仿宋_GB2312"/>
          <w:kern w:val="0"/>
          <w:sz w:val="32"/>
          <w:szCs w:val="32"/>
          <w:highlight w:val="none"/>
          <w:u w:val="none"/>
          <w:lang w:val="en-US" w:eastAsia="zh-CN"/>
        </w:rPr>
        <w:t>2023年</w:t>
      </w:r>
      <w:r>
        <w:rPr>
          <w:rFonts w:hint="eastAsia" w:ascii="仿宋_GB2312" w:hAnsi="仿宋_GB2312" w:eastAsia="仿宋_GB2312" w:cs="仿宋_GB2312"/>
          <w:kern w:val="0"/>
          <w:sz w:val="32"/>
          <w:szCs w:val="32"/>
          <w:u w:val="none"/>
          <w:lang w:val="en-US" w:eastAsia="zh-CN"/>
        </w:rPr>
        <w:t>度高血压患者管理人数</w:t>
      </w:r>
      <w:bookmarkStart w:id="53" w:name="OLE_LINK45"/>
      <w:r>
        <w:rPr>
          <w:rFonts w:hint="eastAsia" w:ascii="仿宋_GB2312" w:hAnsi="仿宋_GB2312" w:eastAsia="仿宋_GB2312" w:cs="仿宋_GB2312"/>
          <w:kern w:val="0"/>
          <w:sz w:val="32"/>
          <w:szCs w:val="32"/>
          <w:u w:val="none"/>
          <w:lang w:val="en-US" w:eastAsia="zh-CN"/>
        </w:rPr>
        <w:t>指标值设定为</w:t>
      </w:r>
      <w:bookmarkEnd w:id="53"/>
      <w:r>
        <w:rPr>
          <w:rFonts w:hint="eastAsia" w:ascii="仿宋_GB2312" w:hAnsi="仿宋_GB2312" w:eastAsia="仿宋_GB2312" w:cs="仿宋_GB2312"/>
          <w:kern w:val="0"/>
          <w:sz w:val="32"/>
          <w:szCs w:val="32"/>
          <w:u w:val="none"/>
          <w:lang w:val="en-US" w:eastAsia="zh-CN"/>
        </w:rPr>
        <w:t>大于等于13万人次，实际完成15.4万人次；基本公共卫生项目培训指标值设定为大于等于150人次，实际培训180人次；高血压糖尿病管理目标任务在2023年度按时完成。发现的主要问题及原因</w:t>
      </w:r>
      <w:r>
        <w:rPr>
          <w:rFonts w:hint="eastAsia" w:ascii="仿宋_GB2312" w:hAnsi="仿宋_GB2312" w:eastAsia="仿宋_GB2312" w:cs="仿宋_GB2312"/>
          <w:kern w:val="0"/>
          <w:sz w:val="32"/>
          <w:szCs w:val="32"/>
          <w:u w:val="none"/>
        </w:rPr>
        <w:t>：</w:t>
      </w:r>
      <w:bookmarkStart w:id="54" w:name="OLE_LINK25"/>
      <w:r>
        <w:rPr>
          <w:rFonts w:hint="eastAsia" w:ascii="仿宋_GB2312" w:hAnsi="仿宋_GB2312" w:eastAsia="仿宋_GB2312" w:cs="仿宋_GB2312"/>
          <w:color w:val="000000"/>
          <w:kern w:val="0"/>
          <w:sz w:val="32"/>
          <w:szCs w:val="32"/>
          <w:u w:val="none"/>
          <w:lang w:val="en-US" w:eastAsia="zh-CN" w:bidi="ar"/>
        </w:rPr>
        <w:t>支出内容多，范围广，预算支出明细设置不够准确，预算执行效率有待提高。</w:t>
      </w:r>
      <w:r>
        <w:rPr>
          <w:rFonts w:hint="eastAsia" w:ascii="仿宋_GB2312" w:hAnsi="仿宋_GB2312" w:eastAsia="仿宋_GB2312" w:cs="仿宋_GB2312"/>
          <w:kern w:val="0"/>
          <w:sz w:val="32"/>
          <w:szCs w:val="32"/>
          <w:u w:val="none"/>
        </w:rPr>
        <w:t>下一步改进措施：</w:t>
      </w:r>
      <w:bookmarkEnd w:id="52"/>
      <w:bookmarkEnd w:id="54"/>
      <w:r>
        <w:rPr>
          <w:rFonts w:hint="eastAsia" w:ascii="仿宋_GB2312" w:hAnsi="仿宋_GB2312" w:eastAsia="仿宋_GB2312" w:cs="仿宋_GB2312"/>
          <w:color w:val="000000"/>
          <w:kern w:val="0"/>
          <w:sz w:val="32"/>
          <w:szCs w:val="32"/>
          <w:u w:val="none"/>
          <w:lang w:val="en-US" w:eastAsia="zh-CN" w:bidi="ar"/>
        </w:rPr>
        <w:t xml:space="preserve">更加合理地安排预算资金，提高资金支出时效性。    </w:t>
      </w:r>
    </w:p>
    <w:p w14:paraId="13FE62DD">
      <w:pPr>
        <w:keepNext w:val="0"/>
        <w:keepLines w:val="0"/>
        <w:pageBreakBefore w:val="0"/>
        <w:widowControl/>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bookmarkStart w:id="55" w:name="OLE_LINK23"/>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党的建设、意识形态、改革调研工作经费”项目自评综述：根据年初设定的绩效目标，项目自评得分</w:t>
      </w:r>
      <w:r>
        <w:rPr>
          <w:rFonts w:hint="eastAsia" w:ascii="仿宋_GB2312" w:hAnsi="仿宋_GB2312" w:eastAsia="仿宋_GB2312" w:cs="仿宋_GB2312"/>
          <w:kern w:val="0"/>
          <w:sz w:val="32"/>
          <w:szCs w:val="32"/>
          <w:u w:val="none"/>
          <w:lang w:val="en-US" w:eastAsia="zh-CN"/>
        </w:rPr>
        <w:t>99.99</w:t>
      </w:r>
      <w:r>
        <w:rPr>
          <w:rFonts w:hint="eastAsia" w:ascii="仿宋_GB2312" w:hAnsi="仿宋_GB2312" w:eastAsia="仿宋_GB2312" w:cs="仿宋_GB2312"/>
          <w:kern w:val="0"/>
          <w:sz w:val="32"/>
          <w:szCs w:val="32"/>
          <w:u w:val="none"/>
        </w:rPr>
        <w:t>分。全年预算数为</w:t>
      </w:r>
      <w:r>
        <w:rPr>
          <w:rFonts w:hint="eastAsia" w:ascii="仿宋_GB2312" w:hAnsi="仿宋_GB2312" w:eastAsia="仿宋_GB2312" w:cs="仿宋_GB2312"/>
          <w:kern w:val="0"/>
          <w:sz w:val="32"/>
          <w:szCs w:val="32"/>
          <w:u w:val="none"/>
          <w:lang w:val="en-US" w:eastAsia="zh-CN"/>
        </w:rPr>
        <w:t>60</w:t>
      </w:r>
      <w:r>
        <w:rPr>
          <w:rFonts w:hint="eastAsia" w:ascii="仿宋_GB2312" w:hAnsi="仿宋_GB2312" w:eastAsia="仿宋_GB2312" w:cs="仿宋_GB2312"/>
          <w:kern w:val="0"/>
          <w:sz w:val="32"/>
          <w:szCs w:val="32"/>
          <w:u w:val="none"/>
        </w:rPr>
        <w:t>万元，执行数为</w:t>
      </w:r>
      <w:r>
        <w:rPr>
          <w:rFonts w:hint="eastAsia" w:ascii="仿宋_GB2312" w:hAnsi="仿宋_GB2312" w:eastAsia="仿宋_GB2312" w:cs="仿宋_GB2312"/>
          <w:kern w:val="0"/>
          <w:sz w:val="32"/>
          <w:szCs w:val="32"/>
          <w:u w:val="none"/>
          <w:lang w:val="en-US" w:eastAsia="zh-CN"/>
        </w:rPr>
        <w:t>59.95</w:t>
      </w:r>
      <w:r>
        <w:rPr>
          <w:rFonts w:hint="eastAsia" w:ascii="仿宋_GB2312" w:hAnsi="仿宋_GB2312" w:eastAsia="仿宋_GB2312" w:cs="仿宋_GB2312"/>
          <w:kern w:val="0"/>
          <w:sz w:val="32"/>
          <w:szCs w:val="32"/>
          <w:u w:val="none"/>
        </w:rPr>
        <w:t>万元，完成预算的</w:t>
      </w:r>
      <w:r>
        <w:rPr>
          <w:rFonts w:hint="eastAsia" w:ascii="仿宋_GB2312" w:hAnsi="仿宋_GB2312" w:eastAsia="仿宋_GB2312" w:cs="仿宋_GB2312"/>
          <w:kern w:val="0"/>
          <w:sz w:val="32"/>
          <w:szCs w:val="32"/>
          <w:u w:val="none"/>
          <w:lang w:val="en-US" w:eastAsia="zh-CN"/>
        </w:rPr>
        <w:t>99.92</w:t>
      </w:r>
      <w:r>
        <w:rPr>
          <w:rFonts w:hint="eastAsia" w:ascii="仿宋_GB2312" w:hAnsi="仿宋_GB2312" w:eastAsia="仿宋_GB2312" w:cs="仿宋_GB2312"/>
          <w:kern w:val="0"/>
          <w:sz w:val="32"/>
          <w:szCs w:val="32"/>
          <w:u w:val="none"/>
        </w:rPr>
        <w:t>%。项目绩效目标完成情况：一是按时完成了年初培训计划，开展党委理论学习中心组集体学习会27次，党支部集中学习60次，邀请老师讲课2次，购买了党的二十大精神及习近平新时代中国特色社会主义思想主题教育学习材料</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二是慰问帮扶村、社区及中心生活困难党员及老党员42人次</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三是“七一”期间表彰“两优一先”和学习强国“学习之星”22名</w:t>
      </w:r>
      <w:r>
        <w:rPr>
          <w:rFonts w:hint="eastAsia" w:ascii="仿宋_GB2312" w:hAnsi="仿宋_GB2312" w:eastAsia="仿宋_GB2312" w:cs="仿宋_GB2312"/>
          <w:kern w:val="0"/>
          <w:sz w:val="32"/>
          <w:szCs w:val="32"/>
          <w:u w:val="none"/>
          <w:lang w:eastAsia="zh-CN"/>
        </w:rPr>
        <w:t>；四</w:t>
      </w:r>
      <w:r>
        <w:rPr>
          <w:rFonts w:hint="eastAsia" w:ascii="仿宋_GB2312" w:hAnsi="仿宋_GB2312" w:eastAsia="仿宋_GB2312" w:cs="仿宋_GB2312"/>
          <w:kern w:val="0"/>
          <w:sz w:val="32"/>
          <w:szCs w:val="32"/>
          <w:u w:val="none"/>
        </w:rPr>
        <w:t>是各党支部开展</w:t>
      </w:r>
      <w:r>
        <w:rPr>
          <w:rFonts w:hint="eastAsia" w:ascii="仿宋_GB2312" w:hAnsi="仿宋_GB2312" w:eastAsia="仿宋_GB2312" w:cs="仿宋_GB2312"/>
          <w:kern w:val="0"/>
          <w:sz w:val="32"/>
          <w:szCs w:val="32"/>
          <w:u w:val="none"/>
          <w:lang w:eastAsia="zh-CN"/>
        </w:rPr>
        <w:t>了</w:t>
      </w:r>
      <w:r>
        <w:rPr>
          <w:rFonts w:hint="eastAsia" w:ascii="仿宋_GB2312" w:hAnsi="仿宋_GB2312" w:eastAsia="仿宋_GB2312" w:cs="仿宋_GB2312"/>
          <w:kern w:val="0"/>
          <w:sz w:val="32"/>
          <w:szCs w:val="32"/>
          <w:u w:val="none"/>
        </w:rPr>
        <w:t>“主题党日活动”共70次</w:t>
      </w:r>
      <w:r>
        <w:rPr>
          <w:rFonts w:hint="eastAsia" w:ascii="仿宋_GB2312" w:hAnsi="仿宋_GB2312" w:eastAsia="仿宋_GB2312" w:cs="仿宋_GB2312"/>
          <w:kern w:val="0"/>
          <w:sz w:val="32"/>
          <w:szCs w:val="32"/>
          <w:u w:val="none"/>
          <w:lang w:eastAsia="zh-CN"/>
        </w:rPr>
        <w:t>；五</w:t>
      </w:r>
      <w:r>
        <w:rPr>
          <w:rFonts w:hint="eastAsia" w:ascii="仿宋_GB2312" w:hAnsi="仿宋_GB2312" w:eastAsia="仿宋_GB2312" w:cs="仿宋_GB2312"/>
          <w:kern w:val="0"/>
          <w:sz w:val="32"/>
          <w:szCs w:val="32"/>
          <w:u w:val="none"/>
        </w:rPr>
        <w:t>是积极开展形式多样的意识形态宣传2次</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加强</w:t>
      </w:r>
      <w:r>
        <w:rPr>
          <w:rFonts w:hint="eastAsia" w:ascii="仿宋_GB2312" w:hAnsi="仿宋_GB2312" w:eastAsia="仿宋_GB2312" w:cs="仿宋_GB2312"/>
          <w:kern w:val="0"/>
          <w:sz w:val="32"/>
          <w:szCs w:val="32"/>
          <w:u w:val="none"/>
          <w:lang w:eastAsia="zh-CN"/>
        </w:rPr>
        <w:t>了</w:t>
      </w:r>
      <w:r>
        <w:rPr>
          <w:rFonts w:hint="eastAsia" w:ascii="仿宋_GB2312" w:hAnsi="仿宋_GB2312" w:eastAsia="仿宋_GB2312" w:cs="仿宋_GB2312"/>
          <w:kern w:val="0"/>
          <w:sz w:val="32"/>
          <w:szCs w:val="32"/>
          <w:u w:val="none"/>
        </w:rPr>
        <w:t>意识形态阵地建设</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发现的主要问题及原因：</w:t>
      </w:r>
      <w:r>
        <w:rPr>
          <w:rFonts w:hint="eastAsia" w:ascii="仿宋_GB2312" w:hAnsi="仿宋_GB2312" w:eastAsia="仿宋_GB2312" w:cs="仿宋_GB2312"/>
          <w:kern w:val="0"/>
          <w:sz w:val="32"/>
          <w:szCs w:val="32"/>
          <w:u w:val="none"/>
          <w:lang w:eastAsia="zh-CN"/>
        </w:rPr>
        <w:t>项目</w:t>
      </w:r>
      <w:r>
        <w:rPr>
          <w:rFonts w:hint="eastAsia" w:ascii="仿宋_GB2312" w:hAnsi="仿宋_GB2312" w:eastAsia="仿宋_GB2312" w:cs="仿宋_GB2312"/>
          <w:kern w:val="0"/>
          <w:sz w:val="32"/>
          <w:szCs w:val="32"/>
          <w:u w:val="none"/>
        </w:rPr>
        <w:t>绩效指标设置有待强。下一步改进措施：精细研判，制定出更加科学合理的</w:t>
      </w:r>
      <w:r>
        <w:rPr>
          <w:rFonts w:hint="eastAsia" w:ascii="仿宋_GB2312" w:hAnsi="仿宋_GB2312" w:eastAsia="仿宋_GB2312" w:cs="仿宋_GB2312"/>
          <w:kern w:val="0"/>
          <w:sz w:val="32"/>
          <w:szCs w:val="32"/>
          <w:u w:val="none"/>
          <w:lang w:eastAsia="zh-CN"/>
        </w:rPr>
        <w:t>绩效指标</w:t>
      </w:r>
      <w:r>
        <w:rPr>
          <w:rFonts w:hint="eastAsia" w:ascii="仿宋_GB2312" w:hAnsi="仿宋_GB2312" w:eastAsia="仿宋_GB2312" w:cs="仿宋_GB2312"/>
          <w:kern w:val="0"/>
          <w:sz w:val="32"/>
          <w:szCs w:val="32"/>
          <w:u w:val="none"/>
        </w:rPr>
        <w:t>。</w:t>
      </w:r>
      <w:bookmarkEnd w:id="55"/>
    </w:p>
    <w:p w14:paraId="0DF3B89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leftChars="0" w:right="0"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3.</w:t>
      </w:r>
      <w:bookmarkStart w:id="56" w:name="OLE_LINK24"/>
      <w:r>
        <w:rPr>
          <w:rFonts w:hint="eastAsia" w:ascii="仿宋_GB2312" w:hAnsi="仿宋_GB2312" w:eastAsia="仿宋_GB2312" w:cs="仿宋_GB2312"/>
          <w:kern w:val="0"/>
          <w:sz w:val="32"/>
          <w:szCs w:val="32"/>
          <w:u w:val="none"/>
        </w:rPr>
        <w:t>“食品风险检测(地产食品风险监测经费)”项目自评综述：根据年初设定的绩效目标，项目自评得分</w:t>
      </w:r>
      <w:r>
        <w:rPr>
          <w:rFonts w:hint="eastAsia" w:ascii="仿宋_GB2312" w:hAnsi="仿宋_GB2312" w:eastAsia="仿宋_GB2312" w:cs="仿宋_GB2312"/>
          <w:kern w:val="0"/>
          <w:sz w:val="32"/>
          <w:szCs w:val="32"/>
          <w:u w:val="none"/>
          <w:lang w:val="en-US" w:eastAsia="zh-CN"/>
        </w:rPr>
        <w:t>99.14</w:t>
      </w:r>
      <w:r>
        <w:rPr>
          <w:rFonts w:hint="eastAsia" w:ascii="仿宋_GB2312" w:hAnsi="仿宋_GB2312" w:eastAsia="仿宋_GB2312" w:cs="仿宋_GB2312"/>
          <w:kern w:val="0"/>
          <w:sz w:val="32"/>
          <w:szCs w:val="32"/>
          <w:u w:val="none"/>
        </w:rPr>
        <w:t>分。全年预算数为</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万元，执行数为</w:t>
      </w:r>
      <w:r>
        <w:rPr>
          <w:rFonts w:hint="eastAsia" w:ascii="仿宋_GB2312" w:hAnsi="仿宋_GB2312" w:eastAsia="仿宋_GB2312" w:cs="仿宋_GB2312"/>
          <w:kern w:val="0"/>
          <w:sz w:val="32"/>
          <w:szCs w:val="32"/>
          <w:u w:val="none"/>
          <w:lang w:val="en-US" w:eastAsia="zh-CN"/>
        </w:rPr>
        <w:t>91.38</w:t>
      </w:r>
      <w:r>
        <w:rPr>
          <w:rFonts w:hint="eastAsia" w:ascii="仿宋_GB2312" w:hAnsi="仿宋_GB2312" w:eastAsia="仿宋_GB2312" w:cs="仿宋_GB2312"/>
          <w:kern w:val="0"/>
          <w:sz w:val="32"/>
          <w:szCs w:val="32"/>
          <w:u w:val="none"/>
        </w:rPr>
        <w:t>万元，完成预算的</w:t>
      </w:r>
      <w:r>
        <w:rPr>
          <w:rFonts w:hint="eastAsia" w:ascii="仿宋_GB2312" w:hAnsi="仿宋_GB2312" w:eastAsia="仿宋_GB2312" w:cs="仿宋_GB2312"/>
          <w:kern w:val="0"/>
          <w:sz w:val="32"/>
          <w:szCs w:val="32"/>
          <w:u w:val="none"/>
          <w:lang w:val="en-US" w:eastAsia="zh-CN"/>
        </w:rPr>
        <w:t>91.38</w:t>
      </w:r>
      <w:r>
        <w:rPr>
          <w:rFonts w:hint="eastAsia" w:ascii="仿宋_GB2312" w:hAnsi="仿宋_GB2312" w:eastAsia="仿宋_GB2312" w:cs="仿宋_GB2312"/>
          <w:kern w:val="0"/>
          <w:sz w:val="32"/>
          <w:szCs w:val="32"/>
          <w:u w:val="none"/>
        </w:rPr>
        <w:t>%。项目绩效目标完成情况：</w:t>
      </w:r>
      <w:r>
        <w:rPr>
          <w:rFonts w:hint="eastAsia" w:ascii="仿宋_GB2312" w:hAnsi="仿宋_GB2312" w:eastAsia="仿宋_GB2312" w:cs="仿宋_GB2312"/>
          <w:color w:val="auto"/>
          <w:spacing w:val="8"/>
          <w:sz w:val="32"/>
          <w:szCs w:val="32"/>
          <w:u w:val="none"/>
        </w:rPr>
        <w:t>2023年利用食品风险检测(地产食品风险监测）经费开展了我市七旗两区食品中重要化学性和生物性污染物的污染状况和食品中有害因素的监测，化学污染物采样380份，检测490份，食源性致病因子采样190份，检测190份。全年上报食安委超限值样本63份，了解了我市食品中主要污染物及有害因素的污染水平和趋势，确定</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危害因素的分布范围和可能来源</w:t>
      </w:r>
      <w:r>
        <w:rPr>
          <w:rFonts w:hint="eastAsia" w:ascii="仿宋_GB2312" w:hAnsi="仿宋_GB2312" w:eastAsia="仿宋_GB2312" w:cs="仿宋_GB2312"/>
          <w:color w:val="auto"/>
          <w:spacing w:val="8"/>
          <w:sz w:val="32"/>
          <w:szCs w:val="32"/>
          <w:u w:val="none"/>
          <w:lang w:eastAsia="zh-CN"/>
        </w:rPr>
        <w:t>。同时</w:t>
      </w:r>
      <w:r>
        <w:rPr>
          <w:rFonts w:hint="eastAsia" w:ascii="仿宋_GB2312" w:hAnsi="仿宋_GB2312" w:eastAsia="仿宋_GB2312" w:cs="仿宋_GB2312"/>
          <w:color w:val="auto"/>
          <w:spacing w:val="8"/>
          <w:sz w:val="32"/>
          <w:szCs w:val="32"/>
          <w:u w:val="none"/>
        </w:rPr>
        <w:t>通过监测发现</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食品生产、消费环节的食品安全隐患，为食品生产加工企业和监管部门控制污染提供</w:t>
      </w:r>
      <w:r>
        <w:rPr>
          <w:rFonts w:hint="eastAsia" w:ascii="仿宋_GB2312" w:hAnsi="仿宋_GB2312" w:eastAsia="仿宋_GB2312" w:cs="仿宋_GB2312"/>
          <w:color w:val="auto"/>
          <w:spacing w:val="8"/>
          <w:sz w:val="32"/>
          <w:szCs w:val="32"/>
          <w:u w:val="none"/>
          <w:lang w:eastAsia="zh-CN"/>
        </w:rPr>
        <w:t>了科学</w:t>
      </w:r>
      <w:r>
        <w:rPr>
          <w:rFonts w:hint="eastAsia" w:ascii="仿宋_GB2312" w:hAnsi="仿宋_GB2312" w:eastAsia="仿宋_GB2312" w:cs="仿宋_GB2312"/>
          <w:color w:val="auto"/>
          <w:spacing w:val="8"/>
          <w:sz w:val="32"/>
          <w:szCs w:val="32"/>
          <w:u w:val="none"/>
        </w:rPr>
        <w:t>技术指导。</w:t>
      </w:r>
      <w:r>
        <w:rPr>
          <w:rFonts w:hint="eastAsia" w:ascii="仿宋_GB2312" w:hAnsi="仿宋_GB2312" w:eastAsia="仿宋_GB2312" w:cs="仿宋_GB2312"/>
          <w:kern w:val="0"/>
          <w:sz w:val="32"/>
          <w:szCs w:val="32"/>
          <w:u w:val="none"/>
        </w:rPr>
        <w:t>发现的主要问题及原因：由于缺乏专业人员，项目绩效管理科学性不足，</w:t>
      </w:r>
      <w:bookmarkStart w:id="57" w:name="OLE_LINK46"/>
      <w:r>
        <w:rPr>
          <w:rFonts w:hint="eastAsia" w:ascii="仿宋_GB2312" w:hAnsi="仿宋_GB2312" w:eastAsia="仿宋_GB2312" w:cs="仿宋_GB2312"/>
          <w:kern w:val="0"/>
          <w:sz w:val="32"/>
          <w:szCs w:val="32"/>
          <w:u w:val="none"/>
          <w:lang w:eastAsia="zh-CN"/>
        </w:rPr>
        <w:t>项目</w:t>
      </w:r>
      <w:r>
        <w:rPr>
          <w:rFonts w:hint="eastAsia" w:ascii="仿宋_GB2312" w:hAnsi="仿宋_GB2312" w:eastAsia="仿宋_GB2312" w:cs="仿宋_GB2312"/>
          <w:kern w:val="0"/>
          <w:sz w:val="32"/>
          <w:szCs w:val="32"/>
          <w:u w:val="none"/>
        </w:rPr>
        <w:t>绩效指标设置有待强</w:t>
      </w:r>
      <w:bookmarkEnd w:id="57"/>
      <w:r>
        <w:rPr>
          <w:rFonts w:hint="eastAsia" w:ascii="仿宋_GB2312" w:hAnsi="仿宋_GB2312" w:eastAsia="仿宋_GB2312" w:cs="仿宋_GB2312"/>
          <w:kern w:val="0"/>
          <w:sz w:val="32"/>
          <w:szCs w:val="32"/>
          <w:u w:val="none"/>
        </w:rPr>
        <w:t>。下一步改进措施：加强项目内各项业务工作的统筹谋划、对预算科目进行科学细化，对每项预算的内容、数额、测算依据等进行明确。</w:t>
      </w:r>
      <w:bookmarkEnd w:id="56"/>
    </w:p>
    <w:p w14:paraId="731F1D1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leftChars="0" w:right="0" w:firstLine="640" w:firstLineChars="200"/>
        <w:jc w:val="both"/>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b w:val="0"/>
          <w:bCs w:val="0"/>
          <w:sz w:val="32"/>
          <w:szCs w:val="32"/>
          <w:u w:val="none"/>
        </w:rPr>
        <w:t>偿还德国政府贷款本息</w:t>
      </w:r>
      <w:r>
        <w:rPr>
          <w:rFonts w:hint="eastAsia" w:ascii="仿宋_GB2312" w:hAnsi="仿宋_GB2312" w:eastAsia="仿宋_GB2312" w:cs="仿宋_GB2312"/>
          <w:b w:val="0"/>
          <w:bCs w:val="0"/>
          <w:kern w:val="0"/>
          <w:sz w:val="32"/>
          <w:szCs w:val="32"/>
          <w:u w:val="none"/>
        </w:rPr>
        <w:t>”</w:t>
      </w:r>
      <w:r>
        <w:rPr>
          <w:rFonts w:hint="eastAsia" w:ascii="仿宋_GB2312" w:hAnsi="仿宋_GB2312" w:eastAsia="仿宋_GB2312" w:cs="仿宋_GB2312"/>
          <w:kern w:val="0"/>
          <w:sz w:val="32"/>
          <w:szCs w:val="32"/>
          <w:u w:val="none"/>
        </w:rPr>
        <w:t>项目自评综述：根据年初设定的绩效目标，项目自评得分</w:t>
      </w:r>
      <w:r>
        <w:rPr>
          <w:rFonts w:hint="eastAsia" w:ascii="仿宋_GB2312" w:hAnsi="仿宋_GB2312" w:eastAsia="仿宋_GB2312" w:cs="仿宋_GB2312"/>
          <w:kern w:val="0"/>
          <w:sz w:val="32"/>
          <w:szCs w:val="32"/>
          <w:u w:val="none"/>
          <w:lang w:val="en-US" w:eastAsia="zh-CN"/>
        </w:rPr>
        <w:t>98.78</w:t>
      </w:r>
      <w:r>
        <w:rPr>
          <w:rFonts w:hint="eastAsia" w:ascii="仿宋_GB2312" w:hAnsi="仿宋_GB2312" w:eastAsia="仿宋_GB2312" w:cs="仿宋_GB2312"/>
          <w:kern w:val="0"/>
          <w:sz w:val="32"/>
          <w:szCs w:val="32"/>
          <w:u w:val="none"/>
        </w:rPr>
        <w:t>分。全年预算数为</w:t>
      </w:r>
      <w:r>
        <w:rPr>
          <w:rFonts w:hint="eastAsia" w:ascii="仿宋_GB2312" w:hAnsi="仿宋_GB2312" w:eastAsia="仿宋_GB2312" w:cs="仿宋_GB2312"/>
          <w:kern w:val="0"/>
          <w:sz w:val="32"/>
          <w:szCs w:val="32"/>
          <w:u w:val="none"/>
          <w:lang w:val="en-US" w:eastAsia="zh-CN"/>
        </w:rPr>
        <w:t>11</w:t>
      </w:r>
      <w:r>
        <w:rPr>
          <w:rFonts w:hint="eastAsia" w:ascii="仿宋_GB2312" w:hAnsi="仿宋_GB2312" w:eastAsia="仿宋_GB2312" w:cs="仿宋_GB2312"/>
          <w:kern w:val="0"/>
          <w:sz w:val="32"/>
          <w:szCs w:val="32"/>
          <w:u w:val="none"/>
        </w:rPr>
        <w:t>万元，执行数为</w:t>
      </w:r>
      <w:r>
        <w:rPr>
          <w:rFonts w:hint="eastAsia" w:ascii="仿宋_GB2312" w:hAnsi="仿宋_GB2312" w:eastAsia="仿宋_GB2312" w:cs="仿宋_GB2312"/>
          <w:kern w:val="0"/>
          <w:sz w:val="32"/>
          <w:szCs w:val="32"/>
          <w:u w:val="none"/>
          <w:lang w:val="en-US" w:eastAsia="zh-CN"/>
        </w:rPr>
        <w:t>9.66</w:t>
      </w:r>
      <w:r>
        <w:rPr>
          <w:rFonts w:hint="eastAsia" w:ascii="仿宋_GB2312" w:hAnsi="仿宋_GB2312" w:eastAsia="仿宋_GB2312" w:cs="仿宋_GB2312"/>
          <w:kern w:val="0"/>
          <w:sz w:val="32"/>
          <w:szCs w:val="32"/>
          <w:u w:val="none"/>
        </w:rPr>
        <w:t>万元，完成预算的</w:t>
      </w:r>
      <w:r>
        <w:rPr>
          <w:rFonts w:hint="eastAsia" w:ascii="仿宋_GB2312" w:hAnsi="仿宋_GB2312" w:eastAsia="仿宋_GB2312" w:cs="仿宋_GB2312"/>
          <w:kern w:val="0"/>
          <w:sz w:val="32"/>
          <w:szCs w:val="32"/>
          <w:u w:val="none"/>
          <w:lang w:val="en-US" w:eastAsia="zh-CN"/>
        </w:rPr>
        <w:t>87.82</w:t>
      </w:r>
      <w:r>
        <w:rPr>
          <w:rFonts w:hint="eastAsia" w:ascii="仿宋_GB2312" w:hAnsi="仿宋_GB2312" w:eastAsia="仿宋_GB2312" w:cs="仿宋_GB2312"/>
          <w:kern w:val="0"/>
          <w:sz w:val="32"/>
          <w:szCs w:val="32"/>
          <w:u w:val="none"/>
        </w:rPr>
        <w:t>%。项目绩效目标完成情况：</w:t>
      </w:r>
      <w:r>
        <w:rPr>
          <w:rFonts w:hint="eastAsia" w:ascii="仿宋_GB2312" w:hAnsi="仿宋_GB2312" w:eastAsia="仿宋_GB2312" w:cs="仿宋_GB2312"/>
          <w:color w:val="auto"/>
          <w:spacing w:val="8"/>
          <w:sz w:val="32"/>
          <w:szCs w:val="32"/>
          <w:u w:val="none"/>
        </w:rPr>
        <w:t>通过德国政府贷款</w:t>
      </w:r>
      <w:r>
        <w:rPr>
          <w:rFonts w:ascii="仿宋" w:hAnsi="仿宋" w:eastAsia="仿宋" w:cs="仿宋"/>
          <w:sz w:val="32"/>
        </w:rPr>
        <w:t>有效整合</w:t>
      </w:r>
      <w:r>
        <w:rPr>
          <w:rFonts w:hint="eastAsia" w:ascii="仿宋" w:hAnsi="仿宋" w:eastAsia="仿宋" w:cs="仿宋"/>
          <w:sz w:val="32"/>
          <w:lang w:eastAsia="zh-CN"/>
        </w:rPr>
        <w:t>了</w:t>
      </w:r>
      <w:r>
        <w:rPr>
          <w:rFonts w:ascii="仿宋" w:hAnsi="仿宋" w:eastAsia="仿宋" w:cs="仿宋"/>
          <w:sz w:val="32"/>
        </w:rPr>
        <w:t>资源</w:t>
      </w:r>
      <w:r>
        <w:rPr>
          <w:rFonts w:hint="eastAsia" w:ascii="仿宋_GB2312" w:hAnsi="仿宋_GB2312" w:eastAsia="仿宋_GB2312" w:cs="仿宋_GB2312"/>
          <w:color w:val="auto"/>
          <w:spacing w:val="8"/>
          <w:sz w:val="32"/>
          <w:szCs w:val="32"/>
          <w:u w:val="none"/>
        </w:rPr>
        <w:t>，装备了我单位仪器设备，解决了我单位设备装备不足问题，全面促进了我市疾病预防控制工作。</w:t>
      </w:r>
      <w:bookmarkStart w:id="58" w:name="OLE_LINK26"/>
      <w:r>
        <w:rPr>
          <w:rFonts w:hint="eastAsia" w:ascii="仿宋_GB2312" w:hAnsi="仿宋_GB2312" w:eastAsia="仿宋_GB2312" w:cs="仿宋_GB2312"/>
          <w:color w:val="auto"/>
          <w:spacing w:val="8"/>
          <w:sz w:val="32"/>
          <w:szCs w:val="32"/>
          <w:u w:val="none"/>
        </w:rPr>
        <w:t>发现的主要问题及原因：</w:t>
      </w:r>
      <w:bookmarkEnd w:id="58"/>
      <w:bookmarkStart w:id="59" w:name="OLE_LINK50"/>
      <w:r>
        <w:rPr>
          <w:rFonts w:hint="eastAsia" w:ascii="仿宋_GB2312" w:hAnsi="仿宋_GB2312" w:eastAsia="仿宋_GB2312" w:cs="仿宋_GB2312"/>
          <w:color w:val="auto"/>
          <w:spacing w:val="8"/>
          <w:sz w:val="32"/>
          <w:szCs w:val="32"/>
          <w:u w:val="none"/>
        </w:rPr>
        <w:t>由于缺乏专业</w:t>
      </w:r>
      <w:r>
        <w:rPr>
          <w:rFonts w:hint="eastAsia" w:ascii="仿宋_GB2312" w:hAnsi="仿宋_GB2312" w:eastAsia="仿宋_GB2312" w:cs="仿宋_GB2312"/>
          <w:kern w:val="0"/>
          <w:sz w:val="32"/>
          <w:szCs w:val="32"/>
          <w:u w:val="none"/>
        </w:rPr>
        <w:t>人员，项目绩效管理科学性不足，</w:t>
      </w:r>
      <w:r>
        <w:rPr>
          <w:rFonts w:hint="eastAsia" w:ascii="仿宋_GB2312" w:hAnsi="仿宋_GB2312" w:eastAsia="仿宋_GB2312" w:cs="仿宋_GB2312"/>
          <w:kern w:val="0"/>
          <w:sz w:val="32"/>
          <w:szCs w:val="32"/>
          <w:u w:val="none"/>
          <w:lang w:eastAsia="zh-CN"/>
        </w:rPr>
        <w:t>项目</w:t>
      </w:r>
      <w:r>
        <w:rPr>
          <w:rFonts w:hint="eastAsia" w:ascii="仿宋_GB2312" w:hAnsi="仿宋_GB2312" w:eastAsia="仿宋_GB2312" w:cs="仿宋_GB2312"/>
          <w:kern w:val="0"/>
          <w:sz w:val="32"/>
          <w:szCs w:val="32"/>
          <w:u w:val="none"/>
        </w:rPr>
        <w:t>绩效指标设置有待强</w:t>
      </w:r>
      <w:bookmarkEnd w:id="59"/>
      <w:r>
        <w:rPr>
          <w:rFonts w:hint="eastAsia" w:ascii="仿宋_GB2312" w:hAnsi="仿宋_GB2312" w:eastAsia="仿宋_GB2312" w:cs="仿宋_GB2312"/>
          <w:kern w:val="0"/>
          <w:sz w:val="32"/>
          <w:szCs w:val="32"/>
          <w:u w:val="none"/>
        </w:rPr>
        <w:t>。下一步改进措施：加强项目内各项业务工作的统筹谋划、对预算科目进行科学细化，对每项预算的内容、数额、测算依据等进行明确。</w:t>
      </w:r>
    </w:p>
    <w:p w14:paraId="31DE3655">
      <w:pPr>
        <w:keepNext w:val="0"/>
        <w:keepLines w:val="0"/>
        <w:pageBreakBefore w:val="0"/>
        <w:widowControl/>
        <w:suppressLineNumbers w:val="0"/>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b/>
          <w:sz w:val="32"/>
          <w:szCs w:val="32"/>
          <w:u w:val="none"/>
        </w:rPr>
        <w:t>厂矿企业检测费、检验费、体检费</w:t>
      </w:r>
      <w:r>
        <w:rPr>
          <w:rFonts w:hint="eastAsia" w:ascii="仿宋_GB2312" w:hAnsi="仿宋_GB2312" w:eastAsia="仿宋_GB2312" w:cs="仿宋_GB2312"/>
          <w:kern w:val="0"/>
          <w:sz w:val="32"/>
          <w:szCs w:val="32"/>
          <w:u w:val="none"/>
        </w:rPr>
        <w:t>”项目自评综述：根据年初设定的绩效目标，项目自评得分</w:t>
      </w:r>
      <w:r>
        <w:rPr>
          <w:rFonts w:hint="eastAsia" w:ascii="仿宋_GB2312" w:hAnsi="仿宋_GB2312" w:eastAsia="仿宋_GB2312" w:cs="仿宋_GB2312"/>
          <w:kern w:val="0"/>
          <w:sz w:val="32"/>
          <w:szCs w:val="32"/>
          <w:u w:val="none"/>
          <w:lang w:val="en-US" w:eastAsia="zh-CN"/>
        </w:rPr>
        <w:t>99.51</w:t>
      </w:r>
      <w:r>
        <w:rPr>
          <w:rFonts w:hint="eastAsia" w:ascii="仿宋_GB2312" w:hAnsi="仿宋_GB2312" w:eastAsia="仿宋_GB2312" w:cs="仿宋_GB2312"/>
          <w:kern w:val="0"/>
          <w:sz w:val="32"/>
          <w:szCs w:val="32"/>
          <w:u w:val="none"/>
        </w:rPr>
        <w:t>分。全年预算数为</w:t>
      </w:r>
      <w:r>
        <w:rPr>
          <w:rFonts w:hint="eastAsia" w:ascii="仿宋_GB2312" w:hAnsi="仿宋_GB2312" w:eastAsia="仿宋_GB2312" w:cs="仿宋_GB2312"/>
          <w:kern w:val="0"/>
          <w:sz w:val="32"/>
          <w:szCs w:val="32"/>
          <w:u w:val="none"/>
          <w:lang w:val="en-US" w:eastAsia="zh-CN"/>
        </w:rPr>
        <w:t>200</w:t>
      </w:r>
      <w:r>
        <w:rPr>
          <w:rFonts w:hint="eastAsia" w:ascii="仿宋_GB2312" w:hAnsi="仿宋_GB2312" w:eastAsia="仿宋_GB2312" w:cs="仿宋_GB2312"/>
          <w:kern w:val="0"/>
          <w:sz w:val="32"/>
          <w:szCs w:val="32"/>
          <w:u w:val="none"/>
        </w:rPr>
        <w:t>万元，执行数为</w:t>
      </w:r>
      <w:r>
        <w:rPr>
          <w:rFonts w:hint="eastAsia" w:ascii="仿宋_GB2312" w:hAnsi="仿宋_GB2312" w:eastAsia="仿宋_GB2312" w:cs="仿宋_GB2312"/>
          <w:kern w:val="0"/>
          <w:sz w:val="32"/>
          <w:szCs w:val="32"/>
          <w:u w:val="none"/>
          <w:lang w:val="en-US" w:eastAsia="zh-CN"/>
        </w:rPr>
        <w:t>190.15</w:t>
      </w:r>
      <w:r>
        <w:rPr>
          <w:rFonts w:hint="eastAsia" w:ascii="仿宋_GB2312" w:hAnsi="仿宋_GB2312" w:eastAsia="仿宋_GB2312" w:cs="仿宋_GB2312"/>
          <w:kern w:val="0"/>
          <w:sz w:val="32"/>
          <w:szCs w:val="32"/>
          <w:u w:val="none"/>
        </w:rPr>
        <w:t>万元，完成预算的</w:t>
      </w:r>
      <w:r>
        <w:rPr>
          <w:rFonts w:hint="eastAsia" w:ascii="仿宋_GB2312" w:hAnsi="仿宋_GB2312" w:eastAsia="仿宋_GB2312" w:cs="仿宋_GB2312"/>
          <w:kern w:val="0"/>
          <w:sz w:val="32"/>
          <w:szCs w:val="32"/>
          <w:u w:val="none"/>
          <w:lang w:val="en-US" w:eastAsia="zh-CN"/>
        </w:rPr>
        <w:t>95.08</w:t>
      </w:r>
      <w:r>
        <w:rPr>
          <w:rFonts w:hint="eastAsia" w:ascii="仿宋_GB2312" w:hAnsi="仿宋_GB2312" w:eastAsia="仿宋_GB2312" w:cs="仿宋_GB2312"/>
          <w:kern w:val="0"/>
          <w:sz w:val="32"/>
          <w:szCs w:val="32"/>
          <w:u w:val="none"/>
        </w:rPr>
        <w:t>%。项目绩效目标完成情况：</w:t>
      </w:r>
      <w:r>
        <w:rPr>
          <w:rFonts w:hint="eastAsia" w:ascii="仿宋_GB2312" w:hAnsi="仿宋_GB2312" w:eastAsia="仿宋_GB2312" w:cs="仿宋_GB2312"/>
          <w:color w:val="auto"/>
          <w:spacing w:val="8"/>
          <w:sz w:val="32"/>
          <w:szCs w:val="32"/>
          <w:u w:val="none"/>
        </w:rPr>
        <w:t>2023年全年共有430名放射工作人员接受了体检，监测了16家放射工作单位。通过这些体检和监测，及时发现并处理</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放射工作人员的健康问题，降低</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他们受到射线照射的风险。这不仅保障了放射工作人员的职业健康，也有助于提高他们的工作效率和准确性，为患者的诊疗质量和安全提供了更有力的保障，为卫生监督部门提供</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有力的数据保障；企业职业健康体检于2023年12月前完成4700余人次，达到了保障劳动者职业健康权益的效果，完成厂矿企业粉尘噪声毒物检测12家企业，协助和质控旗区疾控负责监测工作场所职业病危害严肃的企业共55家，预防</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职业病的发生，持续推进</w:t>
      </w:r>
      <w:r>
        <w:rPr>
          <w:rFonts w:hint="eastAsia" w:ascii="仿宋_GB2312" w:hAnsi="仿宋_GB2312" w:eastAsia="仿宋_GB2312" w:cs="仿宋_GB2312"/>
          <w:color w:val="auto"/>
          <w:spacing w:val="8"/>
          <w:sz w:val="32"/>
          <w:szCs w:val="32"/>
          <w:u w:val="none"/>
          <w:lang w:eastAsia="zh-CN"/>
        </w:rPr>
        <w:t>了</w:t>
      </w:r>
      <w:r>
        <w:rPr>
          <w:rFonts w:hint="eastAsia" w:ascii="仿宋_GB2312" w:hAnsi="仿宋_GB2312" w:eastAsia="仿宋_GB2312" w:cs="仿宋_GB2312"/>
          <w:color w:val="auto"/>
          <w:spacing w:val="8"/>
          <w:sz w:val="32"/>
          <w:szCs w:val="32"/>
          <w:u w:val="none"/>
        </w:rPr>
        <w:t>职业病危害源头治理的效果。</w:t>
      </w:r>
      <w:r>
        <w:rPr>
          <w:rFonts w:hint="eastAsia" w:ascii="仿宋_GB2312" w:hAnsi="仿宋_GB2312" w:eastAsia="仿宋_GB2312" w:cs="仿宋_GB2312"/>
          <w:kern w:val="0"/>
          <w:sz w:val="32"/>
          <w:szCs w:val="32"/>
          <w:u w:val="none"/>
        </w:rPr>
        <w:t>发现的主要问题及原因：</w:t>
      </w:r>
      <w:r>
        <w:rPr>
          <w:rFonts w:hint="eastAsia" w:ascii="仿宋_GB2312" w:hAnsi="仿宋_GB2312" w:eastAsia="仿宋_GB2312" w:cs="仿宋_GB2312"/>
          <w:color w:val="auto"/>
          <w:spacing w:val="8"/>
          <w:sz w:val="32"/>
          <w:szCs w:val="32"/>
          <w:u w:val="none"/>
        </w:rPr>
        <w:t>由于缺乏专业</w:t>
      </w:r>
      <w:r>
        <w:rPr>
          <w:rFonts w:hint="eastAsia" w:ascii="仿宋_GB2312" w:hAnsi="仿宋_GB2312" w:eastAsia="仿宋_GB2312" w:cs="仿宋_GB2312"/>
          <w:kern w:val="0"/>
          <w:sz w:val="32"/>
          <w:szCs w:val="32"/>
          <w:u w:val="none"/>
        </w:rPr>
        <w:t>人员，项目绩效管理科学性不足，</w:t>
      </w:r>
      <w:r>
        <w:rPr>
          <w:rFonts w:hint="eastAsia" w:ascii="仿宋_GB2312" w:hAnsi="仿宋_GB2312" w:eastAsia="仿宋_GB2312" w:cs="仿宋_GB2312"/>
          <w:kern w:val="0"/>
          <w:sz w:val="32"/>
          <w:szCs w:val="32"/>
          <w:u w:val="none"/>
          <w:lang w:eastAsia="zh-CN"/>
        </w:rPr>
        <w:t>项目</w:t>
      </w:r>
      <w:r>
        <w:rPr>
          <w:rFonts w:hint="eastAsia" w:ascii="仿宋_GB2312" w:hAnsi="仿宋_GB2312" w:eastAsia="仿宋_GB2312" w:cs="仿宋_GB2312"/>
          <w:kern w:val="0"/>
          <w:sz w:val="32"/>
          <w:szCs w:val="32"/>
          <w:u w:val="none"/>
        </w:rPr>
        <w:t>绩效指标设置有待强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下一步改进措施：</w:t>
      </w:r>
      <w:r>
        <w:rPr>
          <w:rFonts w:hint="eastAsia" w:ascii="仿宋_GB2312" w:hAnsi="仿宋_GB2312" w:eastAsia="仿宋_GB2312" w:cs="仿宋_GB2312"/>
          <w:color w:val="000000"/>
          <w:kern w:val="0"/>
          <w:sz w:val="32"/>
          <w:szCs w:val="32"/>
          <w:u w:val="none"/>
          <w:lang w:val="en-US" w:eastAsia="zh-CN" w:bidi="ar"/>
        </w:rPr>
        <w:t xml:space="preserve">继续严格预算绩效管理工作，更加科学规范的设置绩效指标。 </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538"/>
        <w:gridCol w:w="745"/>
        <w:gridCol w:w="1145"/>
        <w:gridCol w:w="621"/>
        <w:gridCol w:w="701"/>
        <w:gridCol w:w="688"/>
        <w:gridCol w:w="741"/>
        <w:gridCol w:w="661"/>
        <w:gridCol w:w="1140"/>
        <w:gridCol w:w="1187"/>
        <w:gridCol w:w="1243"/>
      </w:tblGrid>
      <w:tr w14:paraId="1E6D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6"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8CD78F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2981" w:firstLineChars="900"/>
              <w:jc w:val="both"/>
              <w:textAlignment w:val="baseline"/>
              <w:rPr>
                <w:rFonts w:hint="eastAsia" w:ascii="仿宋_GB2312" w:hAnsi="仿宋_GB2312" w:eastAsia="仿宋_GB2312" w:cs="仿宋_GB2312"/>
                <w:b/>
                <w:bCs/>
                <w:snapToGrid w:val="0"/>
                <w:color w:val="000000"/>
                <w:spacing w:val="5"/>
                <w:kern w:val="0"/>
                <w:sz w:val="32"/>
                <w:szCs w:val="32"/>
                <w:lang w:val="en-US" w:eastAsia="zh-CN"/>
              </w:rPr>
            </w:pPr>
            <w:r>
              <w:rPr>
                <w:rFonts w:hint="eastAsia" w:ascii="仿宋_GB2312" w:hAnsi="仿宋_GB2312" w:eastAsia="仿宋_GB2312" w:cs="仿宋_GB2312"/>
                <w:b/>
                <w:bCs/>
                <w:snapToGrid w:val="0"/>
                <w:color w:val="000000"/>
                <w:spacing w:val="5"/>
                <w:kern w:val="0"/>
                <w:sz w:val="32"/>
                <w:szCs w:val="32"/>
                <w:lang w:val="en-US" w:eastAsia="zh-CN"/>
              </w:rPr>
              <w:t>项目支出绩效自评表</w:t>
            </w:r>
          </w:p>
          <w:p w14:paraId="0A16348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3644" w:firstLineChars="1100"/>
              <w:jc w:val="both"/>
              <w:textAlignment w:val="baseline"/>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snapToGrid w:val="0"/>
                <w:color w:val="000000"/>
                <w:spacing w:val="5"/>
                <w:kern w:val="0"/>
                <w:sz w:val="32"/>
                <w:szCs w:val="32"/>
                <w:lang w:val="en-US" w:eastAsia="zh-CN"/>
              </w:rPr>
              <w:t>(2023年度）</w:t>
            </w:r>
          </w:p>
        </w:tc>
      </w:tr>
      <w:tr w14:paraId="55BC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E2E2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项目名称</w:t>
            </w:r>
          </w:p>
        </w:tc>
        <w:tc>
          <w:tcPr>
            <w:tcW w:w="445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3B2AB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慢性病公共卫生考核及社会影响因素状况调查和重点传染病经费及健康科普知识教育经费</w:t>
            </w:r>
          </w:p>
        </w:tc>
      </w:tr>
      <w:tr w14:paraId="2E11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A60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主管部门</w:t>
            </w:r>
          </w:p>
        </w:tc>
        <w:tc>
          <w:tcPr>
            <w:tcW w:w="16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6E9CF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鄂尔多斯市卫生健康委员会（部门）</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E2E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178" w:firstLineChars="10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实施单位</w:t>
            </w:r>
          </w:p>
        </w:tc>
        <w:tc>
          <w:tcPr>
            <w:tcW w:w="21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EB65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712" w:firstLineChars="40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鄂尔多斯市疾病预防控制中心</w:t>
            </w:r>
          </w:p>
        </w:tc>
      </w:tr>
      <w:tr w14:paraId="5A67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C21C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项目资金</w:t>
            </w:r>
            <w:r>
              <w:rPr>
                <w:rFonts w:hint="eastAsia" w:ascii="仿宋_GB2312" w:hAnsi="仿宋_GB2312" w:eastAsia="仿宋_GB2312" w:cs="仿宋_GB2312"/>
                <w:snapToGrid w:val="0"/>
                <w:color w:val="000000"/>
                <w:spacing w:val="-1"/>
                <w:kern w:val="0"/>
                <w:sz w:val="18"/>
                <w:szCs w:val="18"/>
                <w:lang w:val="en-US" w:eastAsia="zh-CN"/>
              </w:rPr>
              <w:br w:type="textWrapping"/>
            </w:r>
            <w:r>
              <w:rPr>
                <w:rFonts w:hint="eastAsia" w:ascii="仿宋_GB2312" w:hAnsi="仿宋_GB2312" w:eastAsia="仿宋_GB2312" w:cs="仿宋_GB2312"/>
                <w:snapToGrid w:val="0"/>
                <w:color w:val="000000"/>
                <w:spacing w:val="-1"/>
                <w:kern w:val="0"/>
                <w:sz w:val="18"/>
                <w:szCs w:val="18"/>
                <w:lang w:val="en-US" w:eastAsia="zh-CN"/>
              </w:rPr>
              <w:t>（万元）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882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D6F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年初预算数</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08C4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全年预算数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6F14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全年执行数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5FF6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分值</w:t>
            </w:r>
          </w:p>
        </w:tc>
        <w:tc>
          <w:tcPr>
            <w:tcW w:w="11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273F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534" w:firstLineChars="30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执行率（%）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0E4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178" w:firstLineChars="100"/>
              <w:jc w:val="center"/>
              <w:textAlignment w:val="baseline"/>
              <w:rPr>
                <w:rFonts w:hint="eastAsia" w:ascii="仿宋_GB2312" w:hAnsi="仿宋_GB2312" w:eastAsia="仿宋_GB2312" w:cs="仿宋_GB2312"/>
                <w:snapToGrid w:val="0"/>
                <w:color w:val="000000"/>
                <w:spacing w:val="-1"/>
                <w:kern w:val="0"/>
                <w:sz w:val="18"/>
                <w:szCs w:val="18"/>
                <w:lang w:eastAsia="en-US"/>
              </w:rPr>
            </w:pPr>
            <w:r>
              <w:rPr>
                <w:rFonts w:hint="eastAsia" w:ascii="仿宋_GB2312" w:hAnsi="仿宋_GB2312" w:eastAsia="仿宋_GB2312" w:cs="仿宋_GB2312"/>
                <w:snapToGrid w:val="0"/>
                <w:color w:val="000000"/>
                <w:spacing w:val="-1"/>
                <w:kern w:val="0"/>
                <w:sz w:val="18"/>
                <w:szCs w:val="18"/>
                <w:lang w:val="en-US" w:eastAsia="zh-CN"/>
              </w:rPr>
              <w:t>得分</w:t>
            </w:r>
          </w:p>
        </w:tc>
      </w:tr>
      <w:tr w14:paraId="6347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D5D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11F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年度资金总额</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61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80.00</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E814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80.00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301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79.92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84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10</w:t>
            </w:r>
          </w:p>
        </w:tc>
        <w:tc>
          <w:tcPr>
            <w:tcW w:w="11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DB2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99.90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5DB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9.99</w:t>
            </w:r>
          </w:p>
        </w:tc>
      </w:tr>
      <w:tr w14:paraId="39C8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3E9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B2B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其中：财政拨款</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149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80.00</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227B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80.00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AEB3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79.92</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95E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11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E887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99.90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57F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r>
      <w:tr w14:paraId="3208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F790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943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上年结转资金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D0A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7AE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BE3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07C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bookmarkStart w:id="60" w:name="OLE_LINK27"/>
            <w:r>
              <w:rPr>
                <w:rFonts w:hint="eastAsia" w:ascii="仿宋_GB2312" w:hAnsi="仿宋_GB2312" w:eastAsia="仿宋_GB2312" w:cs="仿宋_GB2312"/>
                <w:snapToGrid w:val="0"/>
                <w:color w:val="000000"/>
                <w:spacing w:val="-1"/>
                <w:kern w:val="0"/>
                <w:sz w:val="18"/>
                <w:szCs w:val="18"/>
                <w:lang w:val="en-US" w:eastAsia="zh-CN" w:bidi="ar-SA"/>
              </w:rPr>
              <w:t>——</w:t>
            </w:r>
            <w:bookmarkEnd w:id="60"/>
          </w:p>
        </w:tc>
        <w:tc>
          <w:tcPr>
            <w:tcW w:w="11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B5D6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5F0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r>
      <w:tr w14:paraId="17C8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BE7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F86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其他资金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28F3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6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DA0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666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77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11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BAC0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4D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r>
      <w:tr w14:paraId="27F4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17E8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年度总体目标</w:t>
            </w:r>
          </w:p>
        </w:tc>
        <w:tc>
          <w:tcPr>
            <w:tcW w:w="19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AF27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1068" w:firstLineChars="60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预期目标</w:t>
            </w:r>
          </w:p>
        </w:tc>
        <w:tc>
          <w:tcPr>
            <w:tcW w:w="24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0305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1780" w:firstLineChars="100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实际完成情况</w:t>
            </w:r>
          </w:p>
        </w:tc>
      </w:tr>
      <w:tr w14:paraId="47B2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180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19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4D97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通过掌握我市慢病的发病、死亡及社会影响，为精准制定防控政策提供依据；加强公共卫生管理，完善疾病预防控制体系，实施宣传教育，规范化诊疗及管理措施，促进重点慢病及传染病控制。</w:t>
            </w:r>
          </w:p>
        </w:tc>
        <w:tc>
          <w:tcPr>
            <w:tcW w:w="24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F894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通过对旗区对旗区各级医疗机构公共卫生管理，完善疾病预防控制体系，针对老年人健康、糖尿病患者、高血压患者健康管理制定防控行动计划，实施宣传教育、规范化诊疗和管理等手段，促进重点慢性病控制，提高人民群众健康水平。此次培训，参训学员认真学习，积极交流，不仅丰富了慢性病综合防控理论知识，更进一步提高了各旗区专业工作人员业务能力水平，为慢性病综合防控工作将起到重要的指导作用，为推动全市疾控事业发展也起到积极的作用。2023年度前三季度报告率为99.69%，漏报率0.31%，及时报告率为100.00%，完整率为98.45%,准确率为92.66%，一致率为92.66%，有效证件号填写完整率为100%；第四季度报告率为99.29%，漏报率0.71%，及时报告率为99.68%，完整率为98.05%,准确率为89.84%，一致率为91.51%，有效证件号填写完整率为100%。我科在全市按照监测方案开展监测，完成禽流感职业暴露人群52份人血清；禽流感动物的外环境样71份，检测结果均为阴性。</w:t>
            </w:r>
          </w:p>
        </w:tc>
      </w:tr>
      <w:tr w14:paraId="0F22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FE5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绩效指标</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5D5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一级指标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7180">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二级指标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655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三级指标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520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指标性质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B46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指标方向</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C00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年度指标值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EDA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实际完成值</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0DAE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计量单位</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C11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分值</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1C3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得分</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5AD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偏差原因分析及改进措施</w:t>
            </w:r>
          </w:p>
        </w:tc>
      </w:tr>
      <w:tr w14:paraId="5E77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restart"/>
            <w:tcBorders>
              <w:top w:val="single" w:color="000000" w:sz="4" w:space="0"/>
              <w:left w:val="single" w:color="000000" w:sz="4" w:space="0"/>
              <w:bottom w:val="nil"/>
              <w:right w:val="single" w:color="000000" w:sz="4" w:space="0"/>
            </w:tcBorders>
            <w:shd w:val="clear" w:color="auto" w:fill="auto"/>
            <w:vAlign w:val="center"/>
          </w:tcPr>
          <w:p w14:paraId="662BF57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绩效指标</w:t>
            </w:r>
          </w:p>
        </w:tc>
        <w:tc>
          <w:tcPr>
            <w:tcW w:w="270" w:type="pct"/>
            <w:vMerge w:val="restart"/>
            <w:tcBorders>
              <w:top w:val="single" w:color="000000" w:sz="4" w:space="0"/>
              <w:left w:val="single" w:color="000000" w:sz="4" w:space="0"/>
              <w:bottom w:val="nil"/>
              <w:right w:val="single" w:color="000000" w:sz="4" w:space="0"/>
            </w:tcBorders>
            <w:shd w:val="clear" w:color="auto" w:fill="auto"/>
            <w:vAlign w:val="center"/>
          </w:tcPr>
          <w:p w14:paraId="211A4E4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产出指标</w:t>
            </w:r>
          </w:p>
        </w:tc>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14:paraId="6D6F7FA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数量指标</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2CDB38E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bookmarkStart w:id="61" w:name="OLE_LINK17"/>
            <w:r>
              <w:rPr>
                <w:rFonts w:hint="eastAsia" w:ascii="仿宋_GB2312" w:hAnsi="仿宋_GB2312" w:eastAsia="仿宋_GB2312" w:cs="仿宋_GB2312"/>
                <w:snapToGrid w:val="0"/>
                <w:color w:val="000000"/>
                <w:spacing w:val="-1"/>
                <w:kern w:val="0"/>
                <w:sz w:val="18"/>
                <w:szCs w:val="18"/>
                <w:lang w:val="en-US" w:eastAsia="zh-CN" w:bidi="ar-SA"/>
              </w:rPr>
              <w:t>高血压患者管理人数</w:t>
            </w:r>
            <w:bookmarkEnd w:id="61"/>
          </w:p>
        </w:tc>
        <w:tc>
          <w:tcPr>
            <w:tcW w:w="311" w:type="pct"/>
            <w:tcBorders>
              <w:top w:val="single" w:color="000000" w:sz="4" w:space="0"/>
              <w:left w:val="single" w:color="000000" w:sz="4" w:space="0"/>
              <w:bottom w:val="nil"/>
              <w:right w:val="single" w:color="000000" w:sz="4" w:space="0"/>
            </w:tcBorders>
            <w:shd w:val="clear" w:color="auto" w:fill="auto"/>
            <w:vAlign w:val="center"/>
          </w:tcPr>
          <w:p w14:paraId="70C2A7B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66A7F454">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7D6EC9A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13</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0FCD88D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15.4</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7BE431E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万</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1E9448A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52AF56E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2E26ACE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p>
        </w:tc>
      </w:tr>
      <w:tr w14:paraId="477B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7E8F682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1A3CE47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67E2252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9B5D5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bookmarkStart w:id="62" w:name="OLE_LINK20"/>
            <w:r>
              <w:rPr>
                <w:rFonts w:hint="eastAsia" w:ascii="仿宋_GB2312" w:hAnsi="仿宋_GB2312" w:eastAsia="仿宋_GB2312" w:cs="仿宋_GB2312"/>
                <w:snapToGrid w:val="0"/>
                <w:color w:val="000000"/>
                <w:spacing w:val="-1"/>
                <w:kern w:val="0"/>
                <w:sz w:val="18"/>
                <w:szCs w:val="18"/>
                <w:lang w:val="en-US" w:eastAsia="zh-CN" w:bidi="ar-SA"/>
              </w:rPr>
              <w:t>基本公共卫生项目培训</w:t>
            </w:r>
            <w:bookmarkEnd w:id="62"/>
          </w:p>
        </w:tc>
        <w:tc>
          <w:tcPr>
            <w:tcW w:w="311" w:type="pct"/>
            <w:tcBorders>
              <w:top w:val="single" w:color="000000" w:sz="4" w:space="0"/>
              <w:left w:val="single" w:color="000000" w:sz="4" w:space="0"/>
              <w:bottom w:val="nil"/>
              <w:right w:val="single" w:color="000000" w:sz="4" w:space="0"/>
            </w:tcBorders>
            <w:shd w:val="clear" w:color="auto" w:fill="auto"/>
            <w:vAlign w:val="center"/>
          </w:tcPr>
          <w:p w14:paraId="69F10DF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790FCB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5073130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150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004540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180</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795CBCF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人次</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6A177F9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21786A0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0F238D3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152F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4194255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3E31AF0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62CDDC5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2D75FA7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基本公共卫生项目宣传材料</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045C2C4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5AFAD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A6A2A2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1000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3CA37F4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1200</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65C854E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份</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D11FE5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1F20B9C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695F14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52E3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344152A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7FDC641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7DE8958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4828599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传染病漏报调查</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7572821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5C3742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54BFEF3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3E564C6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2945C49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次</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30778A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75A9121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28B20C9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2210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2988791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065E5E0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49C7A8F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085DDC4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禽流感环境监测</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0206925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47E34B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0E52DF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0EC2AEE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71</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7CC612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份</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46D04F9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618171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48A9079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7637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6F6E3B4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0C4AAE8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12E1734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03601F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传染病漏报调查完成率</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4763ACE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284711E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C8840A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1801F0D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4908591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454721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5F7FF56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7B34973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1BC8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46C5FDF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574E88A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228BD4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7BAFB6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宣传材料制作</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2C329AF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2FAE04A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4F3A40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31C0B64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1CE8ADB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种</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19516DE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2B52EC4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27CB922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66A7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137D5E0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21858D0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67A9E5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356FA7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新媒体运营推广</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7046E0E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1502108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73F020F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863B66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124E589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次</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0DC5A40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7BB5D7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34C6577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0781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0B7D3B1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6CD4436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14:paraId="7E88B47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质量指标</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6E19D73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居民规范化电子健康档案覆盖率</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694271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457D3B7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27091F3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61</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23A1AB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87.54</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16A422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1E546E2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3B9845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35A3BE6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4EE6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043F2A6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77416D9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063AE68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433F147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问卷调查填写准确率</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76CB2D8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73BD879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41B82F2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1D27362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95</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40084B1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F90FA7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43F9F1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23593DC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7C1C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51E2C75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2E88F0D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97E8AE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5EC29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问卷调查录入准确率</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6E417A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2C72A0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2AF4728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F46775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98</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1C0ADFA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15E3B4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7622089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7B8E7EF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118A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4BDBF3A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6EEE272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14:paraId="74A1D3F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时效指标</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6EA26E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居民规范化电子健康档案覆盖率</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29F0B4F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43AAE5D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40EC9A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年底前完成</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4CCACB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6DCC675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57CA64F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41E81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6363C57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1E88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4A60311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040D798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6F674E8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6E179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bookmarkStart w:id="63" w:name="OLE_LINK44"/>
            <w:r>
              <w:rPr>
                <w:rFonts w:hint="eastAsia" w:ascii="仿宋_GB2312" w:hAnsi="仿宋_GB2312" w:eastAsia="仿宋_GB2312" w:cs="仿宋_GB2312"/>
                <w:snapToGrid w:val="0"/>
                <w:color w:val="000000"/>
                <w:spacing w:val="-1"/>
                <w:kern w:val="0"/>
                <w:sz w:val="18"/>
                <w:szCs w:val="18"/>
                <w:lang w:val="en-US" w:eastAsia="zh-CN" w:bidi="ar-SA"/>
              </w:rPr>
              <w:t>高血压糖尿病管理任务数</w:t>
            </w:r>
            <w:bookmarkEnd w:id="63"/>
          </w:p>
        </w:tc>
        <w:tc>
          <w:tcPr>
            <w:tcW w:w="311" w:type="pct"/>
            <w:tcBorders>
              <w:top w:val="single" w:color="000000" w:sz="4" w:space="0"/>
              <w:left w:val="single" w:color="000000" w:sz="4" w:space="0"/>
              <w:bottom w:val="nil"/>
              <w:right w:val="single" w:color="000000" w:sz="4" w:space="0"/>
            </w:tcBorders>
            <w:shd w:val="clear" w:color="auto" w:fill="auto"/>
            <w:vAlign w:val="center"/>
          </w:tcPr>
          <w:p w14:paraId="3F103C8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437BAE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6E5ADA9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年底前完成</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740BA7F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45BA4E6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5153FDE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3DAF60C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7EB453C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70B9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2A656A4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2A1079B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DBF467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2FFAFA0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传染病漏报调查完成率</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4D7E9E5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6DF5563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26DBDF1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年底前完成</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33AE606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263A7A9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1D249D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3237E82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0008C23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5B0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17314FE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4F4DE44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B1C518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41E1B65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禽流感环境监测</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2D691F7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6E95E31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0979FD0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年底前完成</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38FFEDA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68DDD87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5EBF16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22C3593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4410218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2BC2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5D6A798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5AB57DD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20CA11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成本指标</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05109B1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项目所需经费</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1A33AA3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反向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7CCFF3C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小于等于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4D617D2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80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7AA2856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79.92</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6DD60CA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万元</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54926C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603382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2439423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495A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3AE3CD2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restart"/>
            <w:tcBorders>
              <w:top w:val="single" w:color="000000" w:sz="4" w:space="0"/>
              <w:left w:val="single" w:color="000000" w:sz="4" w:space="0"/>
              <w:bottom w:val="nil"/>
              <w:right w:val="single" w:color="000000" w:sz="4" w:space="0"/>
            </w:tcBorders>
            <w:shd w:val="clear" w:color="auto" w:fill="auto"/>
            <w:vAlign w:val="center"/>
          </w:tcPr>
          <w:p w14:paraId="02F65B8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效益指标</w:t>
            </w:r>
          </w:p>
        </w:tc>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14:paraId="7C22F97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经济效益</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1DA8E47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慢性病医保报销花费</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10AAB8F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3DC85A0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583E42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有所下降</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DF91A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有所下降</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36801B0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5764228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4A36C15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45A12FC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37A7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323D8A5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3DDA99E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067545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624529F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减少目标人群禽流感检测支出</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0757A7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21CDE46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87891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有所减少</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1F88000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有所减少</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2081CA1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366115A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099D7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5E0C581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36CB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113EB23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75E4E7D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0B4E57F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28CA55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减少宣传品支出</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4C0F36F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5B1BB2D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4F44D89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每人减少10元</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493E6C5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每人减少10元</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051A080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44A2A7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16059D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3E526AF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785C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40EA300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651119F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14:paraId="30C027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社会效益</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D5A5A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重点慢性病控制</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246567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5CBC2B8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465665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得到控制</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061FAF6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得到控制</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59FA889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4D9FE63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74583FC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5FF3068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47EF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219798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7109754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0C257AB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223F134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慢性病规范化诊疗</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6DF7CAA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6A936E3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7068E9D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逐步完善</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2FF69C7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逐步完善</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3726E62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109DF7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43A7EA9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565B295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7F59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4E93559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6EF9AA5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5DCE1F8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1BD41F7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预防慢性病发生</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596C23E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6956D0F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4FCCFB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有效预防</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772A0FE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有效预防</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6A71648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5EC2B86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BFA74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16B6B2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6B8D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63C44EB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78C51E5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95E390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生态效益</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E6E61C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无</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1DC4AB5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153B694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2C349E8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无</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58EE431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无</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0A68CAE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55EBCB7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0A0024D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3C70C70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1ABF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8"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04A6263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3FF133F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49016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可持续影响</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3B5F78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慢性病防治相关知识推广</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031C474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3D65B31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F62CD8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长期</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428A8E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慢性病防治相关知识得到推广</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4E239C8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24DAD8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3BD409A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4</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1AE3038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512E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2558FA3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restart"/>
            <w:tcBorders>
              <w:top w:val="single" w:color="000000" w:sz="4" w:space="0"/>
              <w:left w:val="single" w:color="000000" w:sz="4" w:space="0"/>
              <w:bottom w:val="nil"/>
              <w:right w:val="single" w:color="000000" w:sz="4" w:space="0"/>
            </w:tcBorders>
            <w:shd w:val="clear" w:color="auto" w:fill="auto"/>
            <w:vAlign w:val="center"/>
          </w:tcPr>
          <w:p w14:paraId="5A2E032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满意度指标</w:t>
            </w:r>
          </w:p>
        </w:tc>
        <w:tc>
          <w:tcPr>
            <w:tcW w:w="374" w:type="pct"/>
            <w:vMerge w:val="restart"/>
            <w:tcBorders>
              <w:top w:val="single" w:color="000000" w:sz="4" w:space="0"/>
              <w:left w:val="single" w:color="000000" w:sz="4" w:space="0"/>
              <w:bottom w:val="nil"/>
              <w:right w:val="single" w:color="000000" w:sz="4" w:space="0"/>
            </w:tcBorders>
            <w:shd w:val="clear" w:color="auto" w:fill="auto"/>
            <w:vAlign w:val="center"/>
          </w:tcPr>
          <w:p w14:paraId="03A53C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服务对象满意度</w:t>
            </w:r>
          </w:p>
        </w:tc>
        <w:tc>
          <w:tcPr>
            <w:tcW w:w="575" w:type="pct"/>
            <w:tcBorders>
              <w:top w:val="single" w:color="000000" w:sz="4" w:space="0"/>
              <w:left w:val="single" w:color="000000" w:sz="4" w:space="0"/>
              <w:bottom w:val="nil"/>
              <w:right w:val="single" w:color="000000" w:sz="4" w:space="0"/>
            </w:tcBorders>
            <w:shd w:val="clear" w:color="auto" w:fill="auto"/>
            <w:vAlign w:val="center"/>
          </w:tcPr>
          <w:p w14:paraId="3798D2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基本公共卫生项目培训人员满意度</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5CA6BE4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483A04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02521D9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93</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4A4130B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98</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35D109E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7402A39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22F9DFE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02CB49A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2549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0CF570A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5E94571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2098DD6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7D0E3EE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高血压糖尿病患者管理满意度</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756B6C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328375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16B11C9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93</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16100C6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95</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2C995E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296A919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5086DC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145DB0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087B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0FEB4C1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2E9081D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65E890E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5DEE2C7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禽流感重点人群满意度</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7CAC685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7CFD574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0C05E44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18F1BB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6B5907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4136E8C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1DF9C16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7534BA1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7E5E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4" w:type="pct"/>
            <w:vMerge w:val="continue"/>
            <w:tcBorders>
              <w:top w:val="single" w:color="000000" w:sz="4" w:space="0"/>
              <w:left w:val="single" w:color="000000" w:sz="4" w:space="0"/>
              <w:bottom w:val="nil"/>
              <w:right w:val="single" w:color="000000" w:sz="4" w:space="0"/>
            </w:tcBorders>
            <w:shd w:val="clear" w:color="auto" w:fill="auto"/>
            <w:vAlign w:val="center"/>
          </w:tcPr>
          <w:p w14:paraId="2F0A63F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270" w:type="pct"/>
            <w:vMerge w:val="continue"/>
            <w:tcBorders>
              <w:top w:val="single" w:color="000000" w:sz="4" w:space="0"/>
              <w:left w:val="single" w:color="000000" w:sz="4" w:space="0"/>
              <w:bottom w:val="nil"/>
              <w:right w:val="single" w:color="000000" w:sz="4" w:space="0"/>
            </w:tcBorders>
            <w:shd w:val="clear" w:color="auto" w:fill="auto"/>
            <w:vAlign w:val="center"/>
          </w:tcPr>
          <w:p w14:paraId="1C8048D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374" w:type="pct"/>
            <w:vMerge w:val="continue"/>
            <w:tcBorders>
              <w:top w:val="single" w:color="000000" w:sz="4" w:space="0"/>
              <w:left w:val="single" w:color="000000" w:sz="4" w:space="0"/>
              <w:bottom w:val="nil"/>
              <w:right w:val="single" w:color="000000" w:sz="4" w:space="0"/>
            </w:tcBorders>
            <w:shd w:val="clear" w:color="auto" w:fill="auto"/>
            <w:vAlign w:val="center"/>
          </w:tcPr>
          <w:p w14:paraId="2E9AA28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c>
          <w:tcPr>
            <w:tcW w:w="575" w:type="pct"/>
            <w:tcBorders>
              <w:top w:val="single" w:color="000000" w:sz="4" w:space="0"/>
              <w:left w:val="single" w:color="000000" w:sz="4" w:space="0"/>
              <w:bottom w:val="nil"/>
              <w:right w:val="single" w:color="000000" w:sz="4" w:space="0"/>
            </w:tcBorders>
            <w:shd w:val="clear" w:color="auto" w:fill="auto"/>
            <w:vAlign w:val="center"/>
          </w:tcPr>
          <w:p w14:paraId="37F41E0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受众满意度</w:t>
            </w:r>
          </w:p>
        </w:tc>
        <w:tc>
          <w:tcPr>
            <w:tcW w:w="311" w:type="pct"/>
            <w:tcBorders>
              <w:top w:val="single" w:color="000000" w:sz="4" w:space="0"/>
              <w:left w:val="single" w:color="000000" w:sz="4" w:space="0"/>
              <w:bottom w:val="nil"/>
              <w:right w:val="single" w:color="000000" w:sz="4" w:space="0"/>
            </w:tcBorders>
            <w:shd w:val="clear" w:color="auto" w:fill="auto"/>
            <w:vAlign w:val="center"/>
          </w:tcPr>
          <w:p w14:paraId="5D6D30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712E9A2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345" w:type="pct"/>
            <w:tcBorders>
              <w:top w:val="single" w:color="000000" w:sz="4" w:space="0"/>
              <w:left w:val="single" w:color="000000" w:sz="4" w:space="0"/>
              <w:bottom w:val="nil"/>
              <w:right w:val="single" w:color="000000" w:sz="4" w:space="0"/>
            </w:tcBorders>
            <w:shd w:val="clear" w:color="auto" w:fill="auto"/>
            <w:vAlign w:val="center"/>
          </w:tcPr>
          <w:p w14:paraId="3764F6B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72" w:type="pct"/>
            <w:tcBorders>
              <w:top w:val="single" w:color="000000" w:sz="4" w:space="0"/>
              <w:left w:val="single" w:color="000000" w:sz="4" w:space="0"/>
              <w:bottom w:val="nil"/>
              <w:right w:val="single" w:color="000000" w:sz="4" w:space="0"/>
            </w:tcBorders>
            <w:shd w:val="clear" w:color="auto" w:fill="auto"/>
            <w:vAlign w:val="center"/>
          </w:tcPr>
          <w:p w14:paraId="605FA39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90</w:t>
            </w:r>
          </w:p>
        </w:tc>
        <w:tc>
          <w:tcPr>
            <w:tcW w:w="331" w:type="pct"/>
            <w:tcBorders>
              <w:top w:val="single" w:color="000000" w:sz="4" w:space="0"/>
              <w:left w:val="single" w:color="000000" w:sz="4" w:space="0"/>
              <w:bottom w:val="nil"/>
              <w:right w:val="single" w:color="000000" w:sz="4" w:space="0"/>
            </w:tcBorders>
            <w:shd w:val="clear" w:color="auto" w:fill="auto"/>
            <w:vAlign w:val="center"/>
          </w:tcPr>
          <w:p w14:paraId="0DD40EE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573" w:type="pct"/>
            <w:tcBorders>
              <w:top w:val="single" w:color="000000" w:sz="4" w:space="0"/>
              <w:left w:val="single" w:color="000000" w:sz="4" w:space="0"/>
              <w:bottom w:val="nil"/>
              <w:right w:val="single" w:color="000000" w:sz="4" w:space="0"/>
            </w:tcBorders>
            <w:shd w:val="clear" w:color="auto" w:fill="auto"/>
            <w:vAlign w:val="center"/>
          </w:tcPr>
          <w:p w14:paraId="6A7565F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96" w:type="pct"/>
            <w:tcBorders>
              <w:top w:val="single" w:color="000000" w:sz="4" w:space="0"/>
              <w:left w:val="single" w:color="000000" w:sz="4" w:space="0"/>
              <w:bottom w:val="nil"/>
              <w:right w:val="single" w:color="000000" w:sz="4" w:space="0"/>
            </w:tcBorders>
            <w:shd w:val="clear" w:color="auto" w:fill="auto"/>
            <w:vAlign w:val="center"/>
          </w:tcPr>
          <w:p w14:paraId="6772F61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624" w:type="pct"/>
            <w:tcBorders>
              <w:top w:val="single" w:color="000000" w:sz="4" w:space="0"/>
              <w:left w:val="single" w:color="000000" w:sz="4" w:space="0"/>
              <w:bottom w:val="nil"/>
              <w:right w:val="single" w:color="000000" w:sz="4" w:space="0"/>
            </w:tcBorders>
            <w:shd w:val="clear" w:color="auto" w:fill="auto"/>
            <w:vAlign w:val="center"/>
          </w:tcPr>
          <w:p w14:paraId="384DE4E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en-US" w:bidi="ar-SA"/>
              </w:rPr>
            </w:pPr>
          </w:p>
        </w:tc>
      </w:tr>
      <w:tr w14:paraId="2634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AAE28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2670" w:firstLineChars="150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总分</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CE0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228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napToGrid w:val="0"/>
                <w:color w:val="000000"/>
                <w:spacing w:val="-1"/>
                <w:kern w:val="0"/>
                <w:sz w:val="18"/>
                <w:szCs w:val="18"/>
                <w:lang w:val="en-US" w:eastAsia="zh-CN" w:bidi="ar-SA"/>
              </w:rPr>
              <w:t>95.99</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F79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p>
        </w:tc>
      </w:tr>
    </w:tbl>
    <w:p w14:paraId="0FC89863">
      <w:pPr>
        <w:pStyle w:val="8"/>
        <w:keepNext w:val="0"/>
        <w:keepLines w:val="0"/>
        <w:pageBreakBefore w:val="0"/>
        <w:wordWrap/>
        <w:overflowPunct/>
        <w:topLinePunct w:val="0"/>
        <w:bidi w:val="0"/>
        <w:spacing w:before="0" w:after="0" w:line="560" w:lineRule="atLeast"/>
        <w:ind w:left="0" w:leftChars="0"/>
        <w:jc w:val="center"/>
        <w:rPr>
          <w:rFonts w:hint="eastAsia" w:ascii="仿宋_GB2312" w:hAnsi="仿宋_GB2312" w:eastAsia="仿宋_GB2312" w:cs="仿宋_GB2312"/>
          <w:sz w:val="18"/>
          <w:szCs w:val="18"/>
          <w:lang w:val="en-US"/>
        </w:rPr>
      </w:pPr>
    </w:p>
    <w:p w14:paraId="32CEF465">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p w14:paraId="539AE54B">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466"/>
        <w:gridCol w:w="1056"/>
        <w:gridCol w:w="1262"/>
        <w:gridCol w:w="556"/>
        <w:gridCol w:w="812"/>
        <w:gridCol w:w="804"/>
        <w:gridCol w:w="804"/>
        <w:gridCol w:w="824"/>
        <w:gridCol w:w="805"/>
        <w:gridCol w:w="692"/>
        <w:gridCol w:w="1010"/>
      </w:tblGrid>
      <w:tr w14:paraId="31D5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0482B9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b/>
                <w:bCs/>
                <w:snapToGrid w:val="0"/>
                <w:color w:val="000000"/>
                <w:spacing w:val="5"/>
                <w:kern w:val="0"/>
                <w:sz w:val="32"/>
                <w:szCs w:val="32"/>
                <w:lang w:val="en-US" w:eastAsia="zh-CN"/>
              </w:rPr>
            </w:pPr>
            <w:r>
              <w:rPr>
                <w:rFonts w:hint="eastAsia" w:ascii="仿宋_GB2312" w:hAnsi="仿宋_GB2312" w:eastAsia="仿宋_GB2312" w:cs="仿宋_GB2312"/>
                <w:b/>
                <w:bCs/>
                <w:snapToGrid w:val="0"/>
                <w:color w:val="000000"/>
                <w:spacing w:val="5"/>
                <w:kern w:val="0"/>
                <w:sz w:val="32"/>
                <w:szCs w:val="32"/>
                <w:lang w:val="en-US" w:eastAsia="zh-CN"/>
              </w:rPr>
              <w:t>项目支出绩效自评表</w:t>
            </w:r>
          </w:p>
          <w:p w14:paraId="6B1042F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4306" w:firstLineChars="1300"/>
              <w:jc w:val="center"/>
              <w:textAlignment w:val="baseline"/>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b/>
                <w:bCs/>
                <w:snapToGrid w:val="0"/>
                <w:color w:val="000000"/>
                <w:spacing w:val="5"/>
                <w:kern w:val="0"/>
                <w:sz w:val="32"/>
                <w:szCs w:val="32"/>
                <w:lang w:val="en-US" w:eastAsia="zh-CN"/>
              </w:rPr>
              <w:t>(2023年度）</w:t>
            </w:r>
          </w:p>
        </w:tc>
      </w:tr>
      <w:tr w14:paraId="4AB6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E615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项目名称</w:t>
            </w:r>
          </w:p>
        </w:tc>
        <w:tc>
          <w:tcPr>
            <w:tcW w:w="433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E1E26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bookmarkStart w:id="64" w:name="OLE_LINK31"/>
            <w:r>
              <w:rPr>
                <w:rFonts w:hint="eastAsia" w:ascii="仿宋_GB2312" w:hAnsi="仿宋_GB2312" w:eastAsia="仿宋_GB2312" w:cs="仿宋_GB2312"/>
                <w:snapToGrid w:val="0"/>
                <w:color w:val="000000"/>
                <w:spacing w:val="-1"/>
                <w:kern w:val="0"/>
                <w:sz w:val="18"/>
                <w:szCs w:val="18"/>
                <w:lang w:val="en-US" w:eastAsia="zh-CN" w:bidi="ar-SA"/>
              </w:rPr>
              <w:t>党的建设、意识形态、改革调研工作经费</w:t>
            </w:r>
            <w:bookmarkEnd w:id="64"/>
          </w:p>
        </w:tc>
      </w:tr>
      <w:tr w14:paraId="4CAD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885F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主管部门</w:t>
            </w:r>
          </w:p>
        </w:tc>
        <w:tc>
          <w:tcPr>
            <w:tcW w:w="18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5FF70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鄂尔多斯市卫生健康委员会（部门）</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986E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实施单位</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A253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鄂尔多斯市疾病预防控制中心</w:t>
            </w:r>
          </w:p>
        </w:tc>
      </w:tr>
      <w:tr w14:paraId="3EED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9163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项目资金</w:t>
            </w:r>
            <w:r>
              <w:rPr>
                <w:rFonts w:hint="eastAsia" w:ascii="仿宋_GB2312" w:hAnsi="仿宋_GB2312" w:eastAsia="仿宋_GB2312" w:cs="仿宋_GB2312"/>
                <w:snapToGrid w:val="0"/>
                <w:color w:val="000000"/>
                <w:spacing w:val="-1"/>
                <w:kern w:val="0"/>
                <w:sz w:val="18"/>
                <w:szCs w:val="18"/>
                <w:lang w:val="en-US" w:eastAsia="zh-CN" w:bidi="ar-SA"/>
              </w:rPr>
              <w:br w:type="textWrapping"/>
            </w:r>
            <w:r>
              <w:rPr>
                <w:rFonts w:hint="eastAsia" w:ascii="仿宋_GB2312" w:hAnsi="仿宋_GB2312" w:eastAsia="仿宋_GB2312" w:cs="仿宋_GB2312"/>
                <w:snapToGrid w:val="0"/>
                <w:color w:val="000000"/>
                <w:spacing w:val="-1"/>
                <w:kern w:val="0"/>
                <w:sz w:val="18"/>
                <w:szCs w:val="18"/>
                <w:lang w:val="en-US" w:eastAsia="zh-CN" w:bidi="ar-SA"/>
              </w:rPr>
              <w:t>（万元）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CD51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1A5D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年初预算数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9F34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全年预算数</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0BCD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全年执行数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9A6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分值</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493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执行率（%）</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90F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得分</w:t>
            </w:r>
          </w:p>
        </w:tc>
      </w:tr>
      <w:tr w14:paraId="4DEF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AD5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FF3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年度资金总额</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F6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F5E4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60.00</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685A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59.95</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789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6600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99.92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5A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9.99</w:t>
            </w:r>
          </w:p>
        </w:tc>
      </w:tr>
      <w:tr w14:paraId="7F85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FBB0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90C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其中：财政拨款</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E2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353C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60.00</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22EE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59.95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511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C490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99.92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D1F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r>
      <w:tr w14:paraId="44C2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6214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22A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上年结转资金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8D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7F0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B3B6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C49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8BD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36A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r>
      <w:tr w14:paraId="73C42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EFE8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02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其他资金</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3A4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D500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135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AF7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EC7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83E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r>
      <w:tr w14:paraId="3ECC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5EE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年度总体目标</w:t>
            </w:r>
          </w:p>
        </w:tc>
        <w:tc>
          <w:tcPr>
            <w:tcW w:w="22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6ECE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预期目标</w:t>
            </w:r>
          </w:p>
        </w:tc>
        <w:tc>
          <w:tcPr>
            <w:tcW w:w="20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1CE4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实际完成情况</w:t>
            </w:r>
          </w:p>
        </w:tc>
      </w:tr>
      <w:tr w14:paraId="0856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3" w:hRule="atLeast"/>
        </w:trPr>
        <w:tc>
          <w:tcPr>
            <w:tcW w:w="6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2EC6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2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5AF8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确保单位党的基本建设、意识形态、改革调研工作有序开展；保障基层党组织正常开展党建活动，打牢基层党建工作基础，切实增强基层党组织的战斗力和凝聚力，进一步落实党建工作责任制，提高党建工作科学化水平。</w:t>
            </w:r>
          </w:p>
        </w:tc>
        <w:tc>
          <w:tcPr>
            <w:tcW w:w="20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B24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2023年充分利用党的建设、意识形态、改革调研工作经费一是按时完成了年初培训计划，开展党委理论学习中心组集体学习会27次，党支部集中学习60次，邀请老师讲课2次，购买了党的二十大精神及习近平新时代中国特色社会主义思想主题教育学习材料。二是慰问帮扶村、社区及中心生活困难党员及老党员42人次。三是“七一”期间表彰“两优一先”和学习强国“学习之星”22名。四是继续完善党建活动阵地，为党员提供良好活动阵地。五是各党支部开展“主题党日活动”共70次。六是加强意识形态阵地建设，积极开展形式多样的意识形态宣传共开展2次。</w:t>
            </w:r>
          </w:p>
        </w:tc>
      </w:tr>
      <w:tr w14:paraId="13A9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9ED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绩效指标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668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一级指标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4B8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二级指标</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A99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三级指标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190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指标性质</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6A0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指标方向</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E4C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年度指标值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28B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实际完成值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C55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BCD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分值</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CE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得分</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83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偏差原因分析及改进措施</w:t>
            </w:r>
          </w:p>
        </w:tc>
      </w:tr>
      <w:tr w14:paraId="63C3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652D4FA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绩效指标</w:t>
            </w:r>
          </w:p>
        </w:tc>
        <w:tc>
          <w:tcPr>
            <w:tcW w:w="234" w:type="pct"/>
            <w:vMerge w:val="restart"/>
            <w:tcBorders>
              <w:top w:val="single" w:color="000000" w:sz="4" w:space="0"/>
              <w:left w:val="single" w:color="000000" w:sz="4" w:space="0"/>
              <w:bottom w:val="nil"/>
              <w:right w:val="single" w:color="000000" w:sz="4" w:space="0"/>
            </w:tcBorders>
            <w:shd w:val="clear" w:color="auto" w:fill="auto"/>
            <w:vAlign w:val="center"/>
          </w:tcPr>
          <w:p w14:paraId="3461FA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产出指标</w:t>
            </w:r>
          </w:p>
        </w:tc>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14:paraId="4BDFBBA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数量指标</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01257C1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购买党员学习资料</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1F96DC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99D773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5DF172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700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CB1073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766</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48601E6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份</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FAC25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7AC8D6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2DCF9A0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p>
        </w:tc>
      </w:tr>
      <w:tr w14:paraId="5A61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2E384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6C0BE4E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63BA0AD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F7EC2E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培训学习人次</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1B408C1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A6D5D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25A4A5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BA42BE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618</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38C65B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956BC6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2DCC84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2128AE5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0C0F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39EFBE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3BBF5FF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0E7A3EF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2A802A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七一表彰先进</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2EDB71E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1F327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8C86C7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E21C4F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22</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70760B8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名</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5D0D97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A599F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51C1753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698A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E1BA26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24E4AFF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97BAC7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04D03E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进包扶村和社区帮扶</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2FC820B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56E68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747A78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2A9903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7</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6B5E001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B9F38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9195B6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74BBFDA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0069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EDEBB2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6979AB1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6E1ACE7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505709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主题党日活动</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5143542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1DC3A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006AD9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DF2A2A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70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517C490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97257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A4C49B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09198AB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4B55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9C67E8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56FDFDF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5192B9F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7D08AA3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意识形态宣传</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79FCDA7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60880B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6FA85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E3874B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6A97B9C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79878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14901E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7B5A74B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E4D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9CDA4C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5B60E4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14:paraId="354FBE9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质量指标</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484342E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培训资料验收合格率</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627BD9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4EE7C8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509B3C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45737A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52C5A3F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1F503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A68BE3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2E6CA7F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6C50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23DB5B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7162C9E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FB1A14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12CBE7C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培训人次完成率</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2E9DE4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FA4ACD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F8AE87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FB3DA3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ECA728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C7151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C0B503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51C0343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5EC8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AFEC9C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717579E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DB1954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8DC31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七一表彰完成率</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4A8787C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822B63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05950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CA70BB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202573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2B234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FDF0C8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1E47DBF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593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8CCC82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66E0A0D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6E24231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0F4BAF1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主题党日活动完成率</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5971CC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CE299E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DB5FFE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3B3E0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7960D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6C109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AA68DC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6CB557C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487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6C7F780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561062C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889B5E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198704C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进包扶村和社区帮扶完成率</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2FFA0F5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10E778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1214A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699F24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F95956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B6C50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7C040F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3076095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6EA5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D6EF24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525B555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0A79644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6B22752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意识形态宣传完成率</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7A37175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AF9998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06798A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CB1E74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0C634FD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7B20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CFB7C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5119E38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CCA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E178AC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1963AF2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14:paraId="188A05E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时效指标</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0F82D2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购买党员学习资料</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409020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40BBB7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4508BE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及时购买</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4F623E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已及时购买</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775EC14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B286F1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4B0762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3044BBE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4197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E344DF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6506723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D245AB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1147F9D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培训学习完成时间</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7C3E83A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4270E25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C17B7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2023年12月31日前</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864F30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648CC69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42B2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40D5D7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5573033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1972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8B0ED9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01982F5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559B3CA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47821F9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七一表彰先进时间</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52F2A9E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A65B01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618C0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2023年7月15日前</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853D2D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7月15日前已完成</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2155011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FA6A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FCE594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308F1FD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2D9F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190150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0D6C3DA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2DE12B1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1F365A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主题党日活动时间</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64250E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DF49BA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DDF36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2023年12月31日前</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CADE32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69089AC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9F896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87EC58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6437ED2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298D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639B80C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1FB9719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0566744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7E547DA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开展意识形态宣传时间</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705B349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174833B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15E1B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2023年12月31日前</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DF2A00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年底前已完成</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0A5302D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C22F4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040BBF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5172BC6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27FE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B64B98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32DEF05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tcBorders>
              <w:top w:val="single" w:color="000000" w:sz="4" w:space="0"/>
              <w:left w:val="single" w:color="000000" w:sz="4" w:space="0"/>
              <w:bottom w:val="nil"/>
              <w:right w:val="single" w:color="000000" w:sz="4" w:space="0"/>
            </w:tcBorders>
            <w:shd w:val="clear" w:color="auto" w:fill="auto"/>
            <w:vAlign w:val="center"/>
          </w:tcPr>
          <w:p w14:paraId="4054BFD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成本指标</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2653F5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项目所需经费</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08328D8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反向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FD4406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小于等于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5949E8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60</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30EDA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59.95</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43C5A8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BAB442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2B1A24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2.5</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7407B7C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5FE3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9E3693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restart"/>
            <w:tcBorders>
              <w:top w:val="single" w:color="000000" w:sz="4" w:space="0"/>
              <w:left w:val="single" w:color="000000" w:sz="4" w:space="0"/>
              <w:bottom w:val="nil"/>
              <w:right w:val="single" w:color="000000" w:sz="4" w:space="0"/>
            </w:tcBorders>
            <w:shd w:val="clear" w:color="auto" w:fill="auto"/>
            <w:vAlign w:val="center"/>
          </w:tcPr>
          <w:p w14:paraId="474625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效益指标</w:t>
            </w:r>
          </w:p>
        </w:tc>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14:paraId="395BD65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社会效益</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AE8DB0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提升党员整体素质</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7DA36A5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39D4BFE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DACA4A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有效提升</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E9B1A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有效提升</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1F82559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171EC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64CDF6C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7091916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6BA7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BEB13C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31A5AAD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5D035ED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2240F7D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实现党建工作规范化制度化</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08BF96A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EB59B8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3B2C46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有效实现</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A25439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有效实现</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78392B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D168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2F7BB1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6A3024E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45D6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297FA6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23CE249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6D12A02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619CC16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激励广大党员干部学习先进</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2C478FA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74117BF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26D210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有效激励</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21DEE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有效激励</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5458E3D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390771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4ADEDA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24C7466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F07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ED30F2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7477DDE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54047D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7BDE17E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实现党内管换工作常态化规范化制度化</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0B3E27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505B4D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6E4B06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有效实现</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A420F9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有效实现</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41DFC0B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B363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903BF7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017BD98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73CF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7472F36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51DD809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tcBorders>
              <w:top w:val="single" w:color="000000" w:sz="4" w:space="0"/>
              <w:left w:val="single" w:color="000000" w:sz="4" w:space="0"/>
              <w:bottom w:val="nil"/>
              <w:right w:val="single" w:color="000000" w:sz="4" w:space="0"/>
            </w:tcBorders>
            <w:shd w:val="clear" w:color="auto" w:fill="auto"/>
            <w:vAlign w:val="center"/>
          </w:tcPr>
          <w:p w14:paraId="4AE0E05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可持续影响</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142E0E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持续增强党员为人民服务的意识</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0A2DB5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定性</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79BFF9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5330B6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长期</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C70ABC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持续增强</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4ACFA60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1A3EE7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29C6D1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6</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47B3913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2844E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814B80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restart"/>
            <w:tcBorders>
              <w:top w:val="single" w:color="000000" w:sz="4" w:space="0"/>
              <w:left w:val="single" w:color="000000" w:sz="4" w:space="0"/>
              <w:bottom w:val="nil"/>
              <w:right w:val="single" w:color="000000" w:sz="4" w:space="0"/>
            </w:tcBorders>
            <w:shd w:val="clear" w:color="auto" w:fill="auto"/>
            <w:vAlign w:val="center"/>
          </w:tcPr>
          <w:p w14:paraId="44B09AD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满意度指标</w:t>
            </w:r>
          </w:p>
        </w:tc>
        <w:tc>
          <w:tcPr>
            <w:tcW w:w="530" w:type="pct"/>
            <w:vMerge w:val="restart"/>
            <w:tcBorders>
              <w:top w:val="single" w:color="000000" w:sz="4" w:space="0"/>
              <w:left w:val="single" w:color="000000" w:sz="4" w:space="0"/>
              <w:bottom w:val="nil"/>
              <w:right w:val="single" w:color="000000" w:sz="4" w:space="0"/>
            </w:tcBorders>
            <w:shd w:val="clear" w:color="auto" w:fill="auto"/>
            <w:vAlign w:val="center"/>
          </w:tcPr>
          <w:p w14:paraId="28914D6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服务对象满意度</w:t>
            </w:r>
          </w:p>
        </w:tc>
        <w:tc>
          <w:tcPr>
            <w:tcW w:w="633" w:type="pct"/>
            <w:tcBorders>
              <w:top w:val="single" w:color="000000" w:sz="4" w:space="0"/>
              <w:left w:val="single" w:color="000000" w:sz="4" w:space="0"/>
              <w:bottom w:val="nil"/>
              <w:right w:val="single" w:color="000000" w:sz="4" w:space="0"/>
            </w:tcBorders>
            <w:shd w:val="clear" w:color="auto" w:fill="auto"/>
            <w:vAlign w:val="center"/>
          </w:tcPr>
          <w:p w14:paraId="64F2097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党员对学习资料的满意度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1DBE4A4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28ECEB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2D2C02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AA873F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A8301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5B5B56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E53C60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3ED00E7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9E3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91172C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79A84C0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515AE96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6B20404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党员培训教育满意度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5C7B916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2EE4942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2FE459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98</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114B53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98</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79565BA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5DB18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73DB974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6A1570C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18D6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49BCD7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7CA9550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45267FF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550409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党内关怀满意度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3266A8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5BAE96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665A78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F666CD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1AA10C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9301F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49CE1F5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2</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68F921E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234F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87EAD8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2BD66A8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55262DA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04DD9F9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党内奖励满意度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5A841F4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3AEEA0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2CCAF5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CC2D37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BCD088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C21548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7DCDC2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40A6908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6CED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9CEF43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32F7462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7E2B0FB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746D2A4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进包扶村社区帮扶满意度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02F6A14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3F03A24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2C3E2D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83D297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70321CC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266E9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57DC4C7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74FC756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383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B61D1A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0B39C2C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06A8031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32022C0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阵地建设满意度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16291BE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70125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C2BB85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2BEDEA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1F53A9C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D7ADE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33BE88F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3</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5EAF2B7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3384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6E8859C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234" w:type="pct"/>
            <w:vMerge w:val="continue"/>
            <w:tcBorders>
              <w:top w:val="single" w:color="000000" w:sz="4" w:space="0"/>
              <w:left w:val="single" w:color="000000" w:sz="4" w:space="0"/>
              <w:bottom w:val="nil"/>
              <w:right w:val="single" w:color="000000" w:sz="4" w:space="0"/>
            </w:tcBorders>
            <w:shd w:val="clear" w:color="auto" w:fill="auto"/>
            <w:vAlign w:val="center"/>
          </w:tcPr>
          <w:p w14:paraId="337B619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530" w:type="pct"/>
            <w:vMerge w:val="continue"/>
            <w:tcBorders>
              <w:top w:val="single" w:color="000000" w:sz="4" w:space="0"/>
              <w:left w:val="single" w:color="000000" w:sz="4" w:space="0"/>
              <w:bottom w:val="nil"/>
              <w:right w:val="single" w:color="000000" w:sz="4" w:space="0"/>
            </w:tcBorders>
            <w:shd w:val="clear" w:color="auto" w:fill="auto"/>
            <w:vAlign w:val="center"/>
          </w:tcPr>
          <w:p w14:paraId="01A5AF5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c>
          <w:tcPr>
            <w:tcW w:w="633" w:type="pct"/>
            <w:tcBorders>
              <w:top w:val="single" w:color="000000" w:sz="4" w:space="0"/>
              <w:left w:val="single" w:color="000000" w:sz="4" w:space="0"/>
              <w:bottom w:val="nil"/>
              <w:right w:val="single" w:color="000000" w:sz="4" w:space="0"/>
            </w:tcBorders>
            <w:shd w:val="clear" w:color="auto" w:fill="auto"/>
            <w:vAlign w:val="center"/>
          </w:tcPr>
          <w:p w14:paraId="42461E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意识形态宣传满意度</w:t>
            </w:r>
          </w:p>
        </w:tc>
        <w:tc>
          <w:tcPr>
            <w:tcW w:w="279" w:type="pct"/>
            <w:tcBorders>
              <w:top w:val="single" w:color="000000" w:sz="4" w:space="0"/>
              <w:left w:val="single" w:color="000000" w:sz="4" w:space="0"/>
              <w:bottom w:val="nil"/>
              <w:right w:val="single" w:color="000000" w:sz="4" w:space="0"/>
            </w:tcBorders>
            <w:shd w:val="clear" w:color="auto" w:fill="auto"/>
            <w:vAlign w:val="center"/>
          </w:tcPr>
          <w:p w14:paraId="1550A2E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正向</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18C8345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大于等于</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DB61C6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98</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F1FF59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98</w:t>
            </w:r>
          </w:p>
        </w:tc>
        <w:tc>
          <w:tcPr>
            <w:tcW w:w="413" w:type="pct"/>
            <w:tcBorders>
              <w:top w:val="single" w:color="000000" w:sz="4" w:space="0"/>
              <w:left w:val="single" w:color="000000" w:sz="4" w:space="0"/>
              <w:bottom w:val="nil"/>
              <w:right w:val="single" w:color="000000" w:sz="4" w:space="0"/>
            </w:tcBorders>
            <w:shd w:val="clear" w:color="auto" w:fill="auto"/>
            <w:vAlign w:val="center"/>
          </w:tcPr>
          <w:p w14:paraId="368473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120ED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347" w:type="pct"/>
            <w:tcBorders>
              <w:top w:val="single" w:color="000000" w:sz="4" w:space="0"/>
              <w:left w:val="single" w:color="000000" w:sz="4" w:space="0"/>
              <w:bottom w:val="nil"/>
              <w:right w:val="single" w:color="000000" w:sz="4" w:space="0"/>
            </w:tcBorders>
            <w:shd w:val="clear" w:color="auto" w:fill="auto"/>
            <w:vAlign w:val="center"/>
          </w:tcPr>
          <w:p w14:paraId="1CDB97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w:t>
            </w:r>
          </w:p>
        </w:tc>
        <w:tc>
          <w:tcPr>
            <w:tcW w:w="507" w:type="pct"/>
            <w:tcBorders>
              <w:top w:val="single" w:color="000000" w:sz="4" w:space="0"/>
              <w:left w:val="single" w:color="000000" w:sz="4" w:space="0"/>
              <w:bottom w:val="nil"/>
              <w:right w:val="single" w:color="000000" w:sz="4" w:space="0"/>
            </w:tcBorders>
            <w:shd w:val="clear" w:color="auto" w:fill="auto"/>
            <w:vAlign w:val="center"/>
          </w:tcPr>
          <w:p w14:paraId="75306B6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1"/>
                <w:kern w:val="0"/>
                <w:sz w:val="18"/>
                <w:szCs w:val="18"/>
                <w:lang w:val="en-US" w:eastAsia="zh-CN" w:bidi="ar-SA"/>
              </w:rPr>
            </w:pPr>
          </w:p>
        </w:tc>
      </w:tr>
      <w:tr w14:paraId="12A7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4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F74CD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230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300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r>
              <w:rPr>
                <w:rFonts w:hint="eastAsia" w:ascii="仿宋_GB2312" w:hAnsi="仿宋_GB2312" w:eastAsia="仿宋_GB2312" w:cs="仿宋_GB2312"/>
                <w:snapToGrid w:val="0"/>
                <w:color w:val="000000"/>
                <w:spacing w:val="-1"/>
                <w:kern w:val="0"/>
                <w:sz w:val="18"/>
                <w:szCs w:val="18"/>
                <w:lang w:val="en-US" w:eastAsia="zh-CN" w:bidi="ar-SA"/>
              </w:rPr>
              <w:t>99.99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84A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1"/>
                <w:kern w:val="0"/>
                <w:sz w:val="18"/>
                <w:szCs w:val="18"/>
                <w:lang w:val="en-US" w:eastAsia="zh-CN" w:bidi="ar-SA"/>
              </w:rPr>
            </w:pPr>
          </w:p>
        </w:tc>
      </w:tr>
    </w:tbl>
    <w:p w14:paraId="31C7CBD5">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p w14:paraId="2EE2B054">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p w14:paraId="47D677E5">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615"/>
        <w:gridCol w:w="1014"/>
        <w:gridCol w:w="896"/>
        <w:gridCol w:w="798"/>
        <w:gridCol w:w="806"/>
        <w:gridCol w:w="800"/>
        <w:gridCol w:w="800"/>
        <w:gridCol w:w="816"/>
        <w:gridCol w:w="799"/>
        <w:gridCol w:w="887"/>
        <w:gridCol w:w="863"/>
      </w:tblGrid>
      <w:tr w14:paraId="518D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E5399D4">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2981" w:firstLineChars="900"/>
              <w:jc w:val="both"/>
              <w:textAlignment w:val="baseline"/>
              <w:rPr>
                <w:rFonts w:hint="eastAsia" w:ascii="仿宋_GB2312" w:hAnsi="仿宋_GB2312" w:eastAsia="仿宋_GB2312" w:cs="仿宋_GB2312"/>
                <w:b/>
                <w:bCs/>
                <w:snapToGrid w:val="0"/>
                <w:color w:val="000000"/>
                <w:spacing w:val="5"/>
                <w:kern w:val="0"/>
                <w:sz w:val="32"/>
                <w:szCs w:val="32"/>
                <w:lang w:val="en-US" w:eastAsia="zh-CN"/>
              </w:rPr>
            </w:pPr>
            <w:r>
              <w:rPr>
                <w:rFonts w:hint="eastAsia" w:ascii="仿宋_GB2312" w:hAnsi="仿宋_GB2312" w:eastAsia="仿宋_GB2312" w:cs="仿宋_GB2312"/>
                <w:b/>
                <w:bCs/>
                <w:snapToGrid w:val="0"/>
                <w:color w:val="000000"/>
                <w:spacing w:val="5"/>
                <w:kern w:val="0"/>
                <w:sz w:val="32"/>
                <w:szCs w:val="32"/>
                <w:lang w:val="en-US" w:eastAsia="zh-CN"/>
              </w:rPr>
              <w:t>项目支出绩效自评表</w:t>
            </w:r>
          </w:p>
          <w:p w14:paraId="62AB9FDA">
            <w:pPr>
              <w:keepNext w:val="0"/>
              <w:keepLines w:val="0"/>
              <w:pageBreakBefore w:val="0"/>
              <w:widowControl/>
              <w:kinsoku w:val="0"/>
              <w:wordWrap/>
              <w:overflowPunct/>
              <w:topLinePunct w:val="0"/>
              <w:autoSpaceDE w:val="0"/>
              <w:autoSpaceDN w:val="0"/>
              <w:bidi w:val="0"/>
              <w:adjustRightInd w:val="0"/>
              <w:snapToGrid w:val="0"/>
              <w:spacing w:line="560" w:lineRule="atLeast"/>
              <w:ind w:firstLine="3644" w:firstLineChars="1100"/>
              <w:jc w:val="both"/>
              <w:textAlignment w:val="baseline"/>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b/>
                <w:bCs/>
                <w:snapToGrid w:val="0"/>
                <w:color w:val="000000"/>
                <w:spacing w:val="5"/>
                <w:kern w:val="0"/>
                <w:sz w:val="32"/>
                <w:szCs w:val="32"/>
                <w:lang w:val="en-US" w:eastAsia="zh-CN"/>
              </w:rPr>
              <w:t>(2023年度）</w:t>
            </w:r>
          </w:p>
        </w:tc>
      </w:tr>
      <w:tr w14:paraId="65E6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C6D8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项目名称</w:t>
            </w:r>
          </w:p>
        </w:tc>
        <w:tc>
          <w:tcPr>
            <w:tcW w:w="42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87949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食品风险检测(地产食品风险监测）经费</w:t>
            </w:r>
          </w:p>
        </w:tc>
      </w:tr>
      <w:tr w14:paraId="524B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224C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主管部门</w:t>
            </w:r>
          </w:p>
        </w:tc>
        <w:tc>
          <w:tcPr>
            <w:tcW w:w="17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16C1A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鄂尔多斯市卫生健康委员会（部门）</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5639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实施单位</w:t>
            </w:r>
          </w:p>
        </w:tc>
        <w:tc>
          <w:tcPr>
            <w:tcW w:w="16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F14DE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鄂尔多斯市疾病预防控制中心</w:t>
            </w:r>
          </w:p>
        </w:tc>
      </w:tr>
      <w:tr w14:paraId="6B32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6A2C4">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项目资金</w:t>
            </w:r>
            <w:r>
              <w:rPr>
                <w:rFonts w:hint="eastAsia" w:ascii="仿宋_GB2312" w:hAnsi="仿宋_GB2312" w:eastAsia="仿宋_GB2312" w:cs="仿宋_GB2312"/>
                <w:snapToGrid w:val="0"/>
                <w:color w:val="000000"/>
                <w:spacing w:val="-2"/>
                <w:kern w:val="0"/>
                <w:sz w:val="18"/>
                <w:szCs w:val="18"/>
                <w:lang w:val="en-US" w:eastAsia="zh-CN"/>
              </w:rPr>
              <w:br w:type="textWrapping"/>
            </w:r>
            <w:r>
              <w:rPr>
                <w:rFonts w:hint="eastAsia" w:ascii="仿宋_GB2312" w:hAnsi="仿宋_GB2312" w:eastAsia="仿宋_GB2312" w:cs="仿宋_GB2312"/>
                <w:snapToGrid w:val="0"/>
                <w:color w:val="000000"/>
                <w:spacing w:val="-2"/>
                <w:kern w:val="0"/>
                <w:sz w:val="18"/>
                <w:szCs w:val="18"/>
                <w:lang w:val="en-US" w:eastAsia="zh-CN"/>
              </w:rPr>
              <w:t>（万元）</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727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97DD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年初预算数</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A9DF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全年预算数</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F9CA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全年执行数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4BF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分值</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20D0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执行率（%）</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CF3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得分</w:t>
            </w:r>
          </w:p>
        </w:tc>
      </w:tr>
      <w:tr w14:paraId="2BC9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5B5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37F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年度资金总额</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B2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100.00</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904D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100.00</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57FB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91.38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F9B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248A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91.38</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DD1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9.14</w:t>
            </w:r>
          </w:p>
        </w:tc>
      </w:tr>
      <w:tr w14:paraId="3BE8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452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FB9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其中：财政拨款</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923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100.00</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EE3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100.00</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FBF4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91.38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E3D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9C97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91.38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62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0524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FE4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7E9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上年结转资金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B63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27CD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87F0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6C0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C1EC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086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179B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E55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C5D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其他资金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A7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E6A7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0F3B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6D3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B2A4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7EF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6179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3A3F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年度总体目标</w:t>
            </w:r>
          </w:p>
        </w:tc>
        <w:tc>
          <w:tcPr>
            <w:tcW w:w="21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1A2A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预期目标</w:t>
            </w:r>
          </w:p>
        </w:tc>
        <w:tc>
          <w:tcPr>
            <w:tcW w:w="20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951D0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实际完成情况</w:t>
            </w:r>
          </w:p>
        </w:tc>
      </w:tr>
      <w:tr w14:paraId="4DE2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B8EE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21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B18D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bookmarkStart w:id="65" w:name="OLE_LINK33"/>
            <w:r>
              <w:rPr>
                <w:rFonts w:hint="eastAsia" w:ascii="仿宋_GB2312" w:hAnsi="仿宋_GB2312" w:eastAsia="仿宋_GB2312" w:cs="仿宋_GB2312"/>
                <w:snapToGrid w:val="0"/>
                <w:color w:val="000000"/>
                <w:spacing w:val="-2"/>
                <w:kern w:val="0"/>
                <w:sz w:val="18"/>
                <w:szCs w:val="18"/>
                <w:lang w:val="en-US" w:eastAsia="zh-CN" w:bidi="ar-SA"/>
              </w:rPr>
              <w:t>开展我市食品中重要化学性和生物性污染物的污染状况和食品中有害因素的监测，了解我市食品中主要污染物及有害因素的污染水平和趋势，掌握和分析我市食品安全状况；确定危害因素的分布范围和可能来源，通过监测发现食品生产、消费环节的食品安全隐患，为食品生产加工企业和监管部门控制污染提供技术指导。</w:t>
            </w:r>
            <w:bookmarkEnd w:id="65"/>
          </w:p>
        </w:tc>
        <w:tc>
          <w:tcPr>
            <w:tcW w:w="20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0767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2023年利用食品风险检测(地产食品风险监测）经费开展了我市七旗两区食品中重要化学性和生物性污染物的污染状况和食品中有害因素的监测，化学污染物采样380份，检测490份，食源性致病因子采样190份，检测190份。全年上报食安委超限值样本63份，了解了我市食品中主要污染物及有害因素的污染水平和趋势，掌握和分析我市食品安全状况；确定危害因素的分布范围和可能来源，通过监测发现食品生产、消费环节的食品安全隐患，为食品生产加工企业和监管部门控制污染提供技术指导。</w:t>
            </w:r>
          </w:p>
        </w:tc>
      </w:tr>
      <w:tr w14:paraId="1EBA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117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绩效指标</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343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一级指标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8E83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二级指标</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9EA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三级指标</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5EAC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F09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指标方向</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65F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年度指标值</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3C5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实际完成值</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BB4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计量单位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F79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分值</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3E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176" w:firstLineChars="10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得分</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8A2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偏差原因分析及改进措施</w:t>
            </w:r>
          </w:p>
        </w:tc>
      </w:tr>
      <w:tr w14:paraId="47F9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restart"/>
            <w:tcBorders>
              <w:top w:val="single" w:color="000000" w:sz="4" w:space="0"/>
              <w:left w:val="single" w:color="000000" w:sz="4" w:space="0"/>
              <w:bottom w:val="nil"/>
              <w:right w:val="single" w:color="000000" w:sz="4" w:space="0"/>
            </w:tcBorders>
            <w:shd w:val="clear" w:color="auto" w:fill="auto"/>
            <w:vAlign w:val="center"/>
          </w:tcPr>
          <w:p w14:paraId="3289625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绩效指标</w:t>
            </w:r>
          </w:p>
        </w:tc>
        <w:tc>
          <w:tcPr>
            <w:tcW w:w="308" w:type="pct"/>
            <w:vMerge w:val="restart"/>
            <w:tcBorders>
              <w:top w:val="single" w:color="000000" w:sz="4" w:space="0"/>
              <w:left w:val="single" w:color="000000" w:sz="4" w:space="0"/>
              <w:bottom w:val="nil"/>
              <w:right w:val="single" w:color="000000" w:sz="4" w:space="0"/>
            </w:tcBorders>
            <w:shd w:val="clear" w:color="auto" w:fill="auto"/>
            <w:vAlign w:val="center"/>
          </w:tcPr>
          <w:p w14:paraId="55AF57C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产出指标</w:t>
            </w:r>
          </w:p>
        </w:tc>
        <w:tc>
          <w:tcPr>
            <w:tcW w:w="509" w:type="pct"/>
            <w:vMerge w:val="restart"/>
            <w:tcBorders>
              <w:top w:val="single" w:color="000000" w:sz="4" w:space="0"/>
              <w:left w:val="single" w:color="000000" w:sz="4" w:space="0"/>
              <w:bottom w:val="nil"/>
              <w:right w:val="single" w:color="000000" w:sz="4" w:space="0"/>
            </w:tcBorders>
            <w:shd w:val="clear" w:color="auto" w:fill="auto"/>
            <w:vAlign w:val="center"/>
          </w:tcPr>
          <w:p w14:paraId="57FD13E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数量指标</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6F5350B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化学污染物常规监测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0E0853E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B8476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06A46B3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40FD5644">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180</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35F35520">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份</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2740987">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7.5</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5EC75D9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7.5</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4C87718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p>
        </w:tc>
      </w:tr>
      <w:tr w14:paraId="5A02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16CFC69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1B9C7DB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2233B1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49" w:type="pct"/>
            <w:tcBorders>
              <w:top w:val="single" w:color="000000" w:sz="4" w:space="0"/>
              <w:left w:val="single" w:color="000000" w:sz="4" w:space="0"/>
              <w:bottom w:val="nil"/>
              <w:right w:val="single" w:color="000000" w:sz="4" w:space="0"/>
            </w:tcBorders>
            <w:shd w:val="clear" w:color="auto" w:fill="auto"/>
            <w:vAlign w:val="center"/>
          </w:tcPr>
          <w:p w14:paraId="49B92BC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化学污染物专项监测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2AD380D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F15F1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E4F2A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50</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5C67AB8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110</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6C895D5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份</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56816C6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7.5</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13D0DD6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7.5</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00C3717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1D90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520C3CA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428CBF8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438E35B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49" w:type="pct"/>
            <w:tcBorders>
              <w:top w:val="single" w:color="000000" w:sz="4" w:space="0"/>
              <w:left w:val="single" w:color="000000" w:sz="4" w:space="0"/>
              <w:bottom w:val="nil"/>
              <w:right w:val="single" w:color="000000" w:sz="4" w:space="0"/>
            </w:tcBorders>
            <w:shd w:val="clear" w:color="auto" w:fill="auto"/>
            <w:vAlign w:val="center"/>
          </w:tcPr>
          <w:p w14:paraId="126F726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地方特色食品专项检测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06D83E6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AF98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5082763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90</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E06BC2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90</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21E9AB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份</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4F415B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2B5F12F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14A02CD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5519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78D4010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43CC7FA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nil"/>
              <w:right w:val="single" w:color="000000" w:sz="4" w:space="0"/>
            </w:tcBorders>
            <w:shd w:val="clear" w:color="auto" w:fill="auto"/>
            <w:vAlign w:val="center"/>
          </w:tcPr>
          <w:p w14:paraId="225AD87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质量指标</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0D26FEE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检测完成率</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38D3D5D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786EB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等于</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146089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DF54B4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158.3</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0C097AE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B243E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2A8DB55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245141C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32A2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6D528F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3BF8676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vMerge w:val="restart"/>
            <w:tcBorders>
              <w:top w:val="single" w:color="000000" w:sz="4" w:space="0"/>
              <w:left w:val="single" w:color="000000" w:sz="4" w:space="0"/>
              <w:bottom w:val="nil"/>
              <w:right w:val="single" w:color="000000" w:sz="4" w:space="0"/>
            </w:tcBorders>
            <w:shd w:val="clear" w:color="auto" w:fill="auto"/>
            <w:vAlign w:val="center"/>
          </w:tcPr>
          <w:p w14:paraId="2F4C147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时效指标</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05D2486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化学污染物常规及专项检测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34E7550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C8DA18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2EB9DB4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按月完成</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A70490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按月已完成</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2C9402B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3FE404A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70C047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026CBA5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5EF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68FA4D3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582A449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04E3554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49" w:type="pct"/>
            <w:tcBorders>
              <w:top w:val="single" w:color="000000" w:sz="4" w:space="0"/>
              <w:left w:val="single" w:color="000000" w:sz="4" w:space="0"/>
              <w:bottom w:val="nil"/>
              <w:right w:val="single" w:color="000000" w:sz="4" w:space="0"/>
            </w:tcBorders>
            <w:shd w:val="clear" w:color="auto" w:fill="auto"/>
            <w:vAlign w:val="center"/>
          </w:tcPr>
          <w:p w14:paraId="6EFC7E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地方特色食品专项检测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33E291C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4735D8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C4C554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年底前完成</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1B64FED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年底前已完成</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45C765F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D9CC3A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7373814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044E166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C0E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70B9EFE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457EB0B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nil"/>
              <w:right w:val="single" w:color="000000" w:sz="4" w:space="0"/>
            </w:tcBorders>
            <w:shd w:val="clear" w:color="auto" w:fill="auto"/>
            <w:vAlign w:val="center"/>
          </w:tcPr>
          <w:p w14:paraId="2826A43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成本指标</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2B68750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项目所需经费</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0482AB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F8FB6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小于等于</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2DF2A7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E15F12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91.38</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309E90A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万元</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1A3E842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5AA8E40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7A09C8A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F8B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5B53723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restart"/>
            <w:tcBorders>
              <w:top w:val="single" w:color="000000" w:sz="4" w:space="0"/>
              <w:left w:val="single" w:color="000000" w:sz="4" w:space="0"/>
              <w:bottom w:val="nil"/>
              <w:right w:val="single" w:color="000000" w:sz="4" w:space="0"/>
            </w:tcBorders>
            <w:shd w:val="clear" w:color="auto" w:fill="auto"/>
            <w:vAlign w:val="center"/>
          </w:tcPr>
          <w:p w14:paraId="23D9A37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效益指标</w:t>
            </w:r>
          </w:p>
        </w:tc>
        <w:tc>
          <w:tcPr>
            <w:tcW w:w="509" w:type="pct"/>
            <w:vMerge w:val="restart"/>
            <w:tcBorders>
              <w:top w:val="single" w:color="000000" w:sz="4" w:space="0"/>
              <w:left w:val="single" w:color="000000" w:sz="4" w:space="0"/>
              <w:bottom w:val="nil"/>
              <w:right w:val="single" w:color="000000" w:sz="4" w:space="0"/>
            </w:tcBorders>
            <w:shd w:val="clear" w:color="auto" w:fill="auto"/>
            <w:vAlign w:val="center"/>
          </w:tcPr>
          <w:p w14:paraId="2E70C97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社会效益</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7AF5B41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开展食品中有害因素及污染物监测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3588115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C1F04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2FA1918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及时发现风险并预警</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551634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及时发现风险并预警</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1B50406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55B64E9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3F6B673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5D9BB42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554D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5A5C62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70FBBB6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vMerge w:val="continue"/>
            <w:tcBorders>
              <w:top w:val="single" w:color="000000" w:sz="4" w:space="0"/>
              <w:left w:val="single" w:color="000000" w:sz="4" w:space="0"/>
              <w:bottom w:val="nil"/>
              <w:right w:val="single" w:color="000000" w:sz="4" w:space="0"/>
            </w:tcBorders>
            <w:shd w:val="clear" w:color="auto" w:fill="auto"/>
            <w:vAlign w:val="center"/>
          </w:tcPr>
          <w:p w14:paraId="24AAA1F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49" w:type="pct"/>
            <w:tcBorders>
              <w:top w:val="single" w:color="000000" w:sz="4" w:space="0"/>
              <w:left w:val="single" w:color="000000" w:sz="4" w:space="0"/>
              <w:bottom w:val="nil"/>
              <w:right w:val="single" w:color="000000" w:sz="4" w:space="0"/>
            </w:tcBorders>
            <w:shd w:val="clear" w:color="auto" w:fill="auto"/>
            <w:vAlign w:val="center"/>
          </w:tcPr>
          <w:p w14:paraId="129A4A9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地方特色食品专项检测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31692A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9BD36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76CC93C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形成年度专项分析报告</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13AA621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形成年度专项分析报告</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56093F8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7E6914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3BB5C2B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588EDF6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7FEE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4E07F91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vMerge w:val="continue"/>
            <w:tcBorders>
              <w:top w:val="single" w:color="000000" w:sz="4" w:space="0"/>
              <w:left w:val="single" w:color="000000" w:sz="4" w:space="0"/>
              <w:bottom w:val="nil"/>
              <w:right w:val="single" w:color="000000" w:sz="4" w:space="0"/>
            </w:tcBorders>
            <w:shd w:val="clear" w:color="auto" w:fill="auto"/>
            <w:vAlign w:val="center"/>
          </w:tcPr>
          <w:p w14:paraId="03F5797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509" w:type="pct"/>
            <w:tcBorders>
              <w:top w:val="single" w:color="000000" w:sz="4" w:space="0"/>
              <w:left w:val="single" w:color="000000" w:sz="4" w:space="0"/>
              <w:bottom w:val="nil"/>
              <w:right w:val="single" w:color="000000" w:sz="4" w:space="0"/>
            </w:tcBorders>
            <w:shd w:val="clear" w:color="auto" w:fill="auto"/>
            <w:vAlign w:val="center"/>
          </w:tcPr>
          <w:p w14:paraId="68265BF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可持续影响</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69BA0C0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地方特色食品专项检测</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1697C6F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A98EE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2FA4F3F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为下一年度监测奠定基础</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45576D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为下一年度监测奠定基础</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09096AF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6ADA41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4D71C4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6002C3A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364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2" w:type="pct"/>
            <w:vMerge w:val="continue"/>
            <w:tcBorders>
              <w:top w:val="single" w:color="000000" w:sz="4" w:space="0"/>
              <w:left w:val="single" w:color="000000" w:sz="4" w:space="0"/>
              <w:bottom w:val="nil"/>
              <w:right w:val="single" w:color="000000" w:sz="4" w:space="0"/>
            </w:tcBorders>
            <w:shd w:val="clear" w:color="auto" w:fill="auto"/>
            <w:vAlign w:val="center"/>
          </w:tcPr>
          <w:p w14:paraId="65203B8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308" w:type="pct"/>
            <w:tcBorders>
              <w:top w:val="single" w:color="000000" w:sz="4" w:space="0"/>
              <w:left w:val="single" w:color="000000" w:sz="4" w:space="0"/>
              <w:bottom w:val="nil"/>
              <w:right w:val="single" w:color="000000" w:sz="4" w:space="0"/>
            </w:tcBorders>
            <w:shd w:val="clear" w:color="auto" w:fill="auto"/>
            <w:vAlign w:val="center"/>
          </w:tcPr>
          <w:p w14:paraId="10B5CDC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满意度指标</w:t>
            </w:r>
          </w:p>
        </w:tc>
        <w:tc>
          <w:tcPr>
            <w:tcW w:w="509" w:type="pct"/>
            <w:tcBorders>
              <w:top w:val="single" w:color="000000" w:sz="4" w:space="0"/>
              <w:left w:val="single" w:color="000000" w:sz="4" w:space="0"/>
              <w:bottom w:val="nil"/>
              <w:right w:val="single" w:color="000000" w:sz="4" w:space="0"/>
            </w:tcBorders>
            <w:shd w:val="clear" w:color="auto" w:fill="auto"/>
            <w:vAlign w:val="center"/>
          </w:tcPr>
          <w:p w14:paraId="169532C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服务对象满意度</w:t>
            </w:r>
          </w:p>
        </w:tc>
        <w:tc>
          <w:tcPr>
            <w:tcW w:w="449" w:type="pct"/>
            <w:tcBorders>
              <w:top w:val="single" w:color="000000" w:sz="4" w:space="0"/>
              <w:left w:val="single" w:color="000000" w:sz="4" w:space="0"/>
              <w:bottom w:val="nil"/>
              <w:right w:val="single" w:color="000000" w:sz="4" w:space="0"/>
            </w:tcBorders>
            <w:shd w:val="clear" w:color="auto" w:fill="auto"/>
            <w:vAlign w:val="center"/>
          </w:tcPr>
          <w:p w14:paraId="20BF1EB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被采样对象</w:t>
            </w:r>
          </w:p>
        </w:tc>
        <w:tc>
          <w:tcPr>
            <w:tcW w:w="400" w:type="pct"/>
            <w:tcBorders>
              <w:top w:val="single" w:color="000000" w:sz="4" w:space="0"/>
              <w:left w:val="single" w:color="000000" w:sz="4" w:space="0"/>
              <w:bottom w:val="nil"/>
              <w:right w:val="single" w:color="000000" w:sz="4" w:space="0"/>
            </w:tcBorders>
            <w:shd w:val="clear" w:color="auto" w:fill="auto"/>
            <w:vAlign w:val="center"/>
          </w:tcPr>
          <w:p w14:paraId="6CFD482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9DD3C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49A3729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90</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529FE4A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95</w:t>
            </w:r>
          </w:p>
        </w:tc>
        <w:tc>
          <w:tcPr>
            <w:tcW w:w="409" w:type="pct"/>
            <w:tcBorders>
              <w:top w:val="single" w:color="000000" w:sz="4" w:space="0"/>
              <w:left w:val="single" w:color="000000" w:sz="4" w:space="0"/>
              <w:bottom w:val="nil"/>
              <w:right w:val="single" w:color="000000" w:sz="4" w:space="0"/>
            </w:tcBorders>
            <w:shd w:val="clear" w:color="auto" w:fill="auto"/>
            <w:vAlign w:val="center"/>
          </w:tcPr>
          <w:p w14:paraId="01F6085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401" w:type="pct"/>
            <w:tcBorders>
              <w:top w:val="single" w:color="000000" w:sz="4" w:space="0"/>
              <w:left w:val="single" w:color="000000" w:sz="4" w:space="0"/>
              <w:bottom w:val="nil"/>
              <w:right w:val="single" w:color="000000" w:sz="4" w:space="0"/>
            </w:tcBorders>
            <w:shd w:val="clear" w:color="auto" w:fill="auto"/>
            <w:vAlign w:val="center"/>
          </w:tcPr>
          <w:p w14:paraId="63C4572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39F545D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3" w:type="pct"/>
            <w:tcBorders>
              <w:top w:val="single" w:color="000000" w:sz="4" w:space="0"/>
              <w:left w:val="single" w:color="000000" w:sz="4" w:space="0"/>
              <w:bottom w:val="nil"/>
              <w:right w:val="single" w:color="000000" w:sz="4" w:space="0"/>
            </w:tcBorders>
            <w:shd w:val="clear" w:color="auto" w:fill="auto"/>
            <w:vAlign w:val="center"/>
          </w:tcPr>
          <w:p w14:paraId="0F0D3BF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2D31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19"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2CDF7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3344" w:firstLineChars="190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总分</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BCE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DD3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99.14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4AE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p>
        </w:tc>
      </w:tr>
    </w:tbl>
    <w:p w14:paraId="00EA9304">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p w14:paraId="379048D9">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p w14:paraId="758BE04E">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p w14:paraId="07B6044C">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870"/>
        <w:gridCol w:w="868"/>
        <w:gridCol w:w="804"/>
        <w:gridCol w:w="804"/>
        <w:gridCol w:w="808"/>
        <w:gridCol w:w="806"/>
        <w:gridCol w:w="804"/>
        <w:gridCol w:w="813"/>
        <w:gridCol w:w="805"/>
        <w:gridCol w:w="835"/>
        <w:gridCol w:w="871"/>
      </w:tblGrid>
      <w:tr w14:paraId="14C0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FA7AEF">
            <w:pPr>
              <w:keepNext w:val="0"/>
              <w:keepLines w:val="0"/>
              <w:pageBreakBefore w:val="0"/>
              <w:widowControl/>
              <w:kinsoku w:val="0"/>
              <w:wordWrap/>
              <w:overflowPunct/>
              <w:topLinePunct w:val="0"/>
              <w:autoSpaceDE w:val="0"/>
              <w:autoSpaceDN w:val="0"/>
              <w:bidi w:val="0"/>
              <w:adjustRightInd w:val="0"/>
              <w:snapToGrid w:val="0"/>
              <w:spacing w:line="560" w:lineRule="atLeast"/>
              <w:ind w:left="663" w:leftChars="0" w:hanging="663" w:hangingChars="200"/>
              <w:jc w:val="center"/>
              <w:textAlignment w:val="baseline"/>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b/>
                <w:bCs/>
                <w:snapToGrid w:val="0"/>
                <w:color w:val="000000"/>
                <w:spacing w:val="5"/>
                <w:kern w:val="0"/>
                <w:sz w:val="32"/>
                <w:szCs w:val="32"/>
                <w:lang w:val="en-US" w:eastAsia="zh-CN"/>
              </w:rPr>
              <w:t>项目支出绩效自评表</w:t>
            </w:r>
            <w:r>
              <w:rPr>
                <w:rFonts w:hint="eastAsia" w:ascii="仿宋_GB2312" w:hAnsi="仿宋_GB2312" w:eastAsia="仿宋_GB2312" w:cs="仿宋_GB2312"/>
                <w:b/>
                <w:bCs/>
                <w:snapToGrid w:val="0"/>
                <w:color w:val="000000"/>
                <w:spacing w:val="5"/>
                <w:kern w:val="0"/>
                <w:sz w:val="32"/>
                <w:szCs w:val="32"/>
                <w:lang w:val="en-US" w:eastAsia="zh-CN"/>
              </w:rPr>
              <w:br w:type="textWrapping"/>
            </w:r>
            <w:r>
              <w:rPr>
                <w:rFonts w:hint="eastAsia" w:ascii="仿宋_GB2312" w:hAnsi="仿宋_GB2312" w:eastAsia="仿宋_GB2312" w:cs="仿宋_GB2312"/>
                <w:b/>
                <w:bCs/>
                <w:snapToGrid w:val="0"/>
                <w:color w:val="000000"/>
                <w:spacing w:val="5"/>
                <w:kern w:val="0"/>
                <w:sz w:val="32"/>
                <w:szCs w:val="32"/>
                <w:lang w:val="en-US" w:eastAsia="zh-CN"/>
              </w:rPr>
              <w:t>(2023年度）</w:t>
            </w:r>
          </w:p>
        </w:tc>
      </w:tr>
      <w:tr w14:paraId="790E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B354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项目名称</w:t>
            </w:r>
          </w:p>
        </w:tc>
        <w:tc>
          <w:tcPr>
            <w:tcW w:w="412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08801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偿还德国政府贷款本息</w:t>
            </w:r>
          </w:p>
        </w:tc>
      </w:tr>
      <w:tr w14:paraId="2C22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8CEE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74C8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鄂尔多斯市卫生健康委员会（部门）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1104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DED18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鄂尔多斯市疾病预防控制中心</w:t>
            </w:r>
          </w:p>
        </w:tc>
      </w:tr>
      <w:tr w14:paraId="2A97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C56A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项目资金</w:t>
            </w:r>
            <w:r>
              <w:rPr>
                <w:rFonts w:hint="eastAsia" w:ascii="仿宋_GB2312" w:hAnsi="仿宋_GB2312" w:eastAsia="仿宋_GB2312" w:cs="仿宋_GB2312"/>
                <w:snapToGrid w:val="0"/>
                <w:color w:val="000000"/>
                <w:spacing w:val="-2"/>
                <w:kern w:val="0"/>
                <w:sz w:val="18"/>
                <w:szCs w:val="18"/>
                <w:lang w:val="en-US" w:eastAsia="zh-CN"/>
              </w:rPr>
              <w:br w:type="textWrapping"/>
            </w:r>
            <w:r>
              <w:rPr>
                <w:rFonts w:hint="eastAsia" w:ascii="仿宋_GB2312" w:hAnsi="仿宋_GB2312" w:eastAsia="仿宋_GB2312" w:cs="仿宋_GB2312"/>
                <w:snapToGrid w:val="0"/>
                <w:color w:val="000000"/>
                <w:spacing w:val="-2"/>
                <w:kern w:val="0"/>
                <w:sz w:val="18"/>
                <w:szCs w:val="18"/>
                <w:lang w:val="en-US" w:eastAsia="zh-CN"/>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0A8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E00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B3E1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B2A0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C340">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91140">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DC7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eastAsia="en-US"/>
              </w:rPr>
            </w:pPr>
            <w:r>
              <w:rPr>
                <w:rFonts w:hint="eastAsia" w:ascii="仿宋_GB2312" w:hAnsi="仿宋_GB2312" w:eastAsia="仿宋_GB2312" w:cs="仿宋_GB2312"/>
                <w:snapToGrid w:val="0"/>
                <w:color w:val="000000"/>
                <w:spacing w:val="-2"/>
                <w:kern w:val="0"/>
                <w:sz w:val="18"/>
                <w:szCs w:val="18"/>
                <w:lang w:val="en-US" w:eastAsia="zh-CN"/>
              </w:rPr>
              <w:t>得分</w:t>
            </w:r>
          </w:p>
        </w:tc>
      </w:tr>
      <w:tr w14:paraId="6107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113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5BE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2D3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11.00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B880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11.00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FCF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9.66</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A02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E5F8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87.82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FD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8.78</w:t>
            </w:r>
          </w:p>
        </w:tc>
      </w:tr>
      <w:tr w14:paraId="7CAE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F1DF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E5F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F9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11.00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B3E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11.00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F012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9.66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11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41BE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87.82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99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347D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035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B93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B7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8E5D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C971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1E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4B1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FB0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4844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E06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31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23C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0F4B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39D5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C33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21C3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63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15E8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4405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1C85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预期目标</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04EA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实际完成情况</w:t>
            </w:r>
          </w:p>
        </w:tc>
      </w:tr>
      <w:tr w14:paraId="6899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50A4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0F7A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通过德国政府贷款，装备我单位仪器设备，解决我单位设备装备不足问题，全面促进我市疾病预防控制工作。</w:t>
            </w:r>
          </w:p>
        </w:tc>
        <w:tc>
          <w:tcPr>
            <w:tcW w:w="20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7731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通过德国政府贷款融通资金，装备了我单位仪器设备，解决了我单位设备装备不足问题，全面促进了我市疾病预防控制工作。</w:t>
            </w:r>
          </w:p>
        </w:tc>
      </w:tr>
      <w:tr w14:paraId="720C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35D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绩效指标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DDA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D13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5ED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D9C2">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5DA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808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BE4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EA06">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63E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500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AD2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偏差原因分析及改进措施</w:t>
            </w:r>
          </w:p>
        </w:tc>
      </w:tr>
      <w:tr w14:paraId="3E77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1244FBE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绩效指标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F158AA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4EF1BAE">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56FEC1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偿还</w:t>
            </w:r>
          </w:p>
          <w:p w14:paraId="1F891F2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次数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4FCDF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561388F">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BD0B61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D5C393">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61B716B">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次/年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D28D61">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A2A93C9">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7</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4FE0D3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p>
        </w:tc>
      </w:tr>
      <w:tr w14:paraId="2BF3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5CCFCF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7B0A39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B3D4AE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D71EA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贷款项目</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DF691C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4B47C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FFB3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31CF3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0391C4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个</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0BCF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8</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4855A5A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8</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BC58BA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E2B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6ACA55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4B27C5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F3368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E7E33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贷款还款质量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47B3AC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A9F3AC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470831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足额支付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230E4C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足额支付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034FA0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C24E7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6AA2EF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1C2015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4F43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BDA176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6C4439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B184CD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99E30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贷款及时足额偿付率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6A8CD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832EE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E434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27ACB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64A59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A477E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A501C2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FC5273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FBD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892143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3C5F3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D7C95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EC7EA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每年本息还款时间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AFF50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FBF8C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A8D75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每年6月和12月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39038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6月和12月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3FF432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E8C3D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1967BFF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1D461F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7F71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70AFEF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8E8B70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054254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CCDD1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还款及时率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A8B0E3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1E05D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A22EEA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及时还款</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3C2EA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及时还款</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40C59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AEDC7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C8AC55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457953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6462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8D574F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7C0513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28EA23B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71C63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偿还金额</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9DFCD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反向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2B19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BF6FF3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CB7B1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9.66</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D3CD6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89328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DB82F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4102C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bookmarkStart w:id="66" w:name="OLE_LINK47"/>
            <w:bookmarkStart w:id="67" w:name="OLE_LINK48"/>
            <w:r>
              <w:rPr>
                <w:rFonts w:hint="eastAsia" w:ascii="仿宋_GB2312" w:hAnsi="仿宋_GB2312" w:eastAsia="仿宋_GB2312" w:cs="仿宋_GB2312"/>
                <w:snapToGrid w:val="0"/>
                <w:color w:val="000000"/>
                <w:spacing w:val="-2"/>
                <w:kern w:val="0"/>
                <w:sz w:val="18"/>
                <w:szCs w:val="18"/>
                <w:lang w:val="en-US" w:eastAsia="zh-CN" w:bidi="ar-SA"/>
              </w:rPr>
              <w:t>2</w:t>
            </w:r>
            <w:bookmarkStart w:id="68" w:name="OLE_LINK49"/>
            <w:r>
              <w:rPr>
                <w:rFonts w:hint="eastAsia" w:ascii="仿宋_GB2312" w:hAnsi="仿宋_GB2312" w:eastAsia="仿宋_GB2312" w:cs="仿宋_GB2312"/>
                <w:snapToGrid w:val="0"/>
                <w:color w:val="000000"/>
                <w:spacing w:val="-2"/>
                <w:kern w:val="0"/>
                <w:sz w:val="18"/>
                <w:szCs w:val="18"/>
                <w:lang w:val="en-US" w:eastAsia="zh-CN" w:bidi="ar-SA"/>
              </w:rPr>
              <w:t>022年12月因新冠疫情延迟还款，故将12月的还款额做到2023年预算，2023年本项目预算16万元，之前年度都是8万元，故有偏</w:t>
            </w:r>
            <w:bookmarkEnd w:id="66"/>
            <w:r>
              <w:rPr>
                <w:rFonts w:hint="eastAsia" w:ascii="仿宋_GB2312" w:hAnsi="仿宋_GB2312" w:eastAsia="仿宋_GB2312" w:cs="仿宋_GB2312"/>
                <w:snapToGrid w:val="0"/>
                <w:color w:val="000000"/>
                <w:spacing w:val="-2"/>
                <w:kern w:val="0"/>
                <w:sz w:val="18"/>
                <w:szCs w:val="18"/>
                <w:lang w:val="en-US" w:eastAsia="zh-CN" w:bidi="ar-SA"/>
              </w:rPr>
              <w:t>差</w:t>
            </w:r>
            <w:bookmarkEnd w:id="67"/>
            <w:r>
              <w:rPr>
                <w:rFonts w:hint="eastAsia" w:ascii="仿宋_GB2312" w:hAnsi="仿宋_GB2312" w:eastAsia="仿宋_GB2312" w:cs="仿宋_GB2312"/>
                <w:snapToGrid w:val="0"/>
                <w:color w:val="000000"/>
                <w:spacing w:val="-2"/>
                <w:kern w:val="0"/>
                <w:sz w:val="18"/>
                <w:szCs w:val="18"/>
                <w:lang w:val="en-US" w:eastAsia="zh-CN" w:bidi="ar-SA"/>
              </w:rPr>
              <w:t>。</w:t>
            </w:r>
            <w:bookmarkEnd w:id="68"/>
          </w:p>
        </w:tc>
      </w:tr>
      <w:tr w14:paraId="4783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6282C2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2DBD03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14:paraId="5B61D31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经济效益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776EA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有效整合资源</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84B525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0C8CFD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E7A2B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有效整合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19A60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有效整合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4A932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5335F7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5514C6A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AC42A7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C88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84B0E3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777E1C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15FC31C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800F9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全面促进我市疾病预防控制工作</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E953BD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2D126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FD704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有效促进</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050E3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有效促进</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411B1A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5BCC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15</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25BEBEF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55BF84E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02A8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C9EB3D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BABED4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4C22807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A0E6A9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项目可持续发挥期限</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0526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8CE4E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D01B1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E884AB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长期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5E457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1CCE0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321695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34D9B1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5F31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272714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7D1587C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满意度指标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14:paraId="746DA27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EE6E10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还款对象满意度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83433C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A3CD64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2E58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F4B96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68990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76097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19" w:type="pct"/>
            <w:tcBorders>
              <w:top w:val="single" w:color="000000" w:sz="4" w:space="0"/>
              <w:left w:val="single" w:color="000000" w:sz="4" w:space="0"/>
              <w:bottom w:val="nil"/>
              <w:right w:val="single" w:color="000000" w:sz="4" w:space="0"/>
            </w:tcBorders>
            <w:shd w:val="clear" w:color="auto" w:fill="auto"/>
            <w:vAlign w:val="center"/>
          </w:tcPr>
          <w:p w14:paraId="7796207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4113D5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en-US" w:bidi="ar-SA"/>
              </w:rPr>
            </w:pPr>
          </w:p>
        </w:tc>
      </w:tr>
      <w:tr w14:paraId="36EF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F7D920">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AA45">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176" w:firstLineChars="10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87CC">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r>
              <w:rPr>
                <w:rFonts w:hint="eastAsia" w:ascii="仿宋_GB2312" w:hAnsi="仿宋_GB2312" w:eastAsia="仿宋_GB2312" w:cs="仿宋_GB2312"/>
                <w:snapToGrid w:val="0"/>
                <w:color w:val="000000"/>
                <w:spacing w:val="-2"/>
                <w:kern w:val="0"/>
                <w:sz w:val="18"/>
                <w:szCs w:val="18"/>
                <w:lang w:val="en-US" w:eastAsia="zh-CN" w:bidi="ar-SA"/>
              </w:rPr>
              <w:t>98.78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D3E8">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snapToGrid w:val="0"/>
                <w:color w:val="000000"/>
                <w:spacing w:val="-2"/>
                <w:kern w:val="0"/>
                <w:sz w:val="18"/>
                <w:szCs w:val="18"/>
                <w:lang w:val="en-US" w:eastAsia="en-US" w:bidi="ar-SA"/>
              </w:rPr>
            </w:pPr>
          </w:p>
        </w:tc>
      </w:tr>
    </w:tbl>
    <w:p w14:paraId="4E3F97BD">
      <w:pPr>
        <w:keepNext w:val="0"/>
        <w:keepLines w:val="0"/>
        <w:pageBreakBefore w:val="0"/>
        <w:widowControl/>
        <w:wordWrap/>
        <w:overflowPunct/>
        <w:topLinePunct w:val="0"/>
        <w:bidi w:val="0"/>
        <w:spacing w:line="560" w:lineRule="atLeast"/>
        <w:ind w:left="0" w:leftChars="0"/>
        <w:jc w:val="center"/>
        <w:rPr>
          <w:rFonts w:ascii="kai_ti_gb2312" w:hAnsi="kai_ti_gb2312" w:eastAsia="kai_ti_gb2312" w:cs="kai_ti_gb2312"/>
          <w:b/>
          <w:bCs/>
          <w:kern w:val="0"/>
          <w:sz w:val="27"/>
          <w:szCs w:val="27"/>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641"/>
        <w:gridCol w:w="762"/>
        <w:gridCol w:w="948"/>
        <w:gridCol w:w="745"/>
        <w:gridCol w:w="676"/>
        <w:gridCol w:w="1532"/>
        <w:gridCol w:w="745"/>
        <w:gridCol w:w="775"/>
        <w:gridCol w:w="745"/>
        <w:gridCol w:w="786"/>
        <w:gridCol w:w="803"/>
      </w:tblGrid>
      <w:tr w14:paraId="712A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BEE63ED">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jc w:val="center"/>
              <w:textAlignment w:val="baseline"/>
              <w:rPr>
                <w:rFonts w:hint="eastAsia" w:ascii="仿宋_GB2312" w:hAnsi="仿宋_GB2312" w:eastAsia="仿宋_GB2312" w:cs="仿宋_GB2312"/>
                <w:b/>
                <w:bCs/>
                <w:snapToGrid w:val="0"/>
                <w:color w:val="000000"/>
                <w:spacing w:val="5"/>
                <w:kern w:val="0"/>
                <w:sz w:val="32"/>
                <w:szCs w:val="32"/>
                <w:lang w:val="en-US" w:eastAsia="zh-CN"/>
              </w:rPr>
            </w:pPr>
            <w:r>
              <w:rPr>
                <w:rFonts w:hint="eastAsia" w:ascii="仿宋_GB2312" w:hAnsi="仿宋_GB2312" w:eastAsia="仿宋_GB2312" w:cs="仿宋_GB2312"/>
                <w:b/>
                <w:bCs/>
                <w:snapToGrid w:val="0"/>
                <w:color w:val="000000"/>
                <w:spacing w:val="5"/>
                <w:kern w:val="0"/>
                <w:sz w:val="32"/>
                <w:szCs w:val="32"/>
                <w:lang w:val="en-US" w:eastAsia="zh-CN"/>
              </w:rPr>
              <w:t>项目支出绩效自评表</w:t>
            </w:r>
          </w:p>
          <w:p w14:paraId="718C261A">
            <w:pPr>
              <w:keepNext w:val="0"/>
              <w:keepLines w:val="0"/>
              <w:pageBreakBefore w:val="0"/>
              <w:widowControl/>
              <w:kinsoku w:val="0"/>
              <w:wordWrap/>
              <w:overflowPunct/>
              <w:topLinePunct w:val="0"/>
              <w:autoSpaceDE w:val="0"/>
              <w:autoSpaceDN w:val="0"/>
              <w:bidi w:val="0"/>
              <w:adjustRightInd w:val="0"/>
              <w:snapToGrid w:val="0"/>
              <w:spacing w:line="560" w:lineRule="atLeast"/>
              <w:ind w:left="0" w:leftChars="0" w:firstLine="663" w:firstLineChars="200"/>
              <w:jc w:val="center"/>
              <w:textAlignment w:val="baseline"/>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b/>
                <w:bCs/>
                <w:snapToGrid w:val="0"/>
                <w:color w:val="000000"/>
                <w:spacing w:val="5"/>
                <w:kern w:val="0"/>
                <w:sz w:val="32"/>
                <w:szCs w:val="32"/>
                <w:lang w:val="en-US" w:eastAsia="zh-CN"/>
              </w:rPr>
              <w:t>(2023年度）</w:t>
            </w:r>
          </w:p>
        </w:tc>
      </w:tr>
      <w:tr w14:paraId="4615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0F0E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项目名称</w:t>
            </w:r>
          </w:p>
        </w:tc>
        <w:tc>
          <w:tcPr>
            <w:tcW w:w="427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209E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厂矿企业检测费、检验费、体检费</w:t>
            </w:r>
          </w:p>
        </w:tc>
      </w:tr>
      <w:tr w14:paraId="3EFB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2DCE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主管部门</w:t>
            </w:r>
          </w:p>
        </w:tc>
        <w:tc>
          <w:tcPr>
            <w:tcW w:w="15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8D3B3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鄂尔多斯市卫生健康委员会（部门）</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1400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实施单位</w:t>
            </w:r>
          </w:p>
        </w:tc>
        <w:tc>
          <w:tcPr>
            <w:tcW w:w="15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71AE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鄂尔多斯市疾病预防控制中心</w:t>
            </w:r>
          </w:p>
        </w:tc>
      </w:tr>
      <w:tr w14:paraId="5887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400E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项目资金</w:t>
            </w:r>
            <w:r>
              <w:rPr>
                <w:rFonts w:hint="eastAsia" w:ascii="仿宋_GB2312" w:hAnsi="仿宋_GB2312" w:eastAsia="仿宋_GB2312" w:cs="仿宋_GB2312"/>
                <w:snapToGrid w:val="0"/>
                <w:color w:val="000000"/>
                <w:spacing w:val="-2"/>
                <w:kern w:val="0"/>
                <w:sz w:val="18"/>
                <w:szCs w:val="18"/>
                <w:lang w:val="en-US" w:eastAsia="zh-CN" w:bidi="ar-SA"/>
              </w:rPr>
              <w:br w:type="textWrapping"/>
            </w:r>
            <w:r>
              <w:rPr>
                <w:rFonts w:hint="eastAsia" w:ascii="仿宋_GB2312" w:hAnsi="仿宋_GB2312" w:eastAsia="仿宋_GB2312" w:cs="仿宋_GB2312"/>
                <w:snapToGrid w:val="0"/>
                <w:color w:val="000000"/>
                <w:spacing w:val="-2"/>
                <w:kern w:val="0"/>
                <w:sz w:val="18"/>
                <w:szCs w:val="18"/>
                <w:lang w:val="en-US" w:eastAsia="zh-CN" w:bidi="ar-SA"/>
              </w:rPr>
              <w:t>（万元）</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56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F30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年初预算数</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B784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全年预算数</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3819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全年执行数</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419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分值</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744B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执行率（%）</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651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得分</w:t>
            </w:r>
          </w:p>
        </w:tc>
      </w:tr>
      <w:tr w14:paraId="3BD2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74B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E8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年度资金总额</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E8A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200.00</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21A1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200.00</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C26F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190.15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FFF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1357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95.08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F6C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9.51</w:t>
            </w:r>
          </w:p>
        </w:tc>
      </w:tr>
      <w:tr w14:paraId="3EFC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0B5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64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其中：财政拨款</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D0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200.00</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E00F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200.00</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41F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190.15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A80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CD11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95.08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2BF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4C6D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67AA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A0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上年结转资金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F74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4312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1E4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9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467C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3D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4BCF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02A3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D93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其他资金</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DE9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802D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41C7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070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6CAF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3D2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r>
      <w:tr w14:paraId="17B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323A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年度总体目标</w:t>
            </w:r>
          </w:p>
        </w:tc>
        <w:tc>
          <w:tcPr>
            <w:tcW w:w="23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D6F4A">
            <w:pPr>
              <w:keepNext w:val="0"/>
              <w:keepLines w:val="0"/>
              <w:pageBreakBefore w:val="0"/>
              <w:widowControl/>
              <w:suppressLineNumbers w:val="0"/>
              <w:wordWrap/>
              <w:overflowPunct/>
              <w:topLinePunct w:val="0"/>
              <w:bidi w:val="0"/>
              <w:spacing w:line="560" w:lineRule="atLeast"/>
              <w:ind w:firstLine="1408" w:firstLineChars="800"/>
              <w:jc w:val="both"/>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预期目标</w:t>
            </w:r>
          </w:p>
        </w:tc>
        <w:tc>
          <w:tcPr>
            <w:tcW w:w="19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EF39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实际完成情况</w:t>
            </w:r>
          </w:p>
        </w:tc>
      </w:tr>
      <w:tr w14:paraId="2259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29FB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23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91B4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通过加强职业病预防防治工作，加大公共场所从业人员健康体检，强化行业自律和监督管理职责，推动企业落实主体责任，推进职业病危害源头治理，切实保障劳动者职业健康权益，预防和控制职业病发生</w:t>
            </w:r>
          </w:p>
        </w:tc>
        <w:tc>
          <w:tcPr>
            <w:tcW w:w="19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36A73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2023年全年共有430名放射工作人员接受了体检，监测了16家放射工作单位。通过这些体检和监测，我们能够及时发现并处理放射工作人员的健康问题，降低他们和公众受到射线照射的风险。这不仅保障了放射工作人员的职业健康，也有助于提高他们的工作效率和准确性，为患者的诊疗质量和安全提供了更有力的保障，为卫生监督部门提供有力的数据保障；企业职业健康体检于2023年12月前完成4700余人次，达到了保障劳动者职业健康权益的效果，完成厂矿企业粉尘噪声毒物检测12家企业，协助和质控旗区疾控负责监测工作场所职业病危害严肃的企业共55家，达到了预防职业病的发生，达到了持续推进职业病危害源头治理的效果。</w:t>
            </w:r>
          </w:p>
        </w:tc>
      </w:tr>
      <w:tr w14:paraId="11BE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842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绩效指标</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FE5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一级指标</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765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二级指标</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70D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三级指标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448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指标性质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6C2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指标方向</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5A1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年度指标值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BB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实际完成值</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2FF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计量单位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4C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分值</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248A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得分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28F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偏差原因分析及改进措施</w:t>
            </w:r>
          </w:p>
        </w:tc>
      </w:tr>
      <w:tr w14:paraId="4949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400" w:type="pct"/>
            <w:vMerge w:val="restart"/>
            <w:tcBorders>
              <w:top w:val="single" w:color="000000" w:sz="4" w:space="0"/>
              <w:left w:val="single" w:color="000000" w:sz="4" w:space="0"/>
              <w:bottom w:val="nil"/>
              <w:right w:val="single" w:color="000000" w:sz="4" w:space="0"/>
            </w:tcBorders>
            <w:shd w:val="clear" w:color="auto" w:fill="auto"/>
            <w:vAlign w:val="center"/>
          </w:tcPr>
          <w:p w14:paraId="4D7E9C8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绩效指标</w:t>
            </w:r>
          </w:p>
        </w:tc>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14:paraId="58C00A9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产出指标</w:t>
            </w: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7D87DBB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数量指标</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214037A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放射工作人员健康体检</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4C3A6DD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5ADC9BE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61DBF07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9A012D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430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51C383D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人次</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942E3F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094A12A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7D6FB7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p>
        </w:tc>
      </w:tr>
      <w:tr w14:paraId="6758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277329E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2FD8DEC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2ED5406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2CF37B8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放射防护监测数量</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17127A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232E463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250B3C6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15</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BC9E6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16</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111109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家</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917683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2281080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B3220E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7358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1989348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085FC7D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72C4392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43A438A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公共场所微小气候监测</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B7CF4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3B6717D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516C967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A6FC1B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77A4F5E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次</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17EAA7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58E7F7A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A55A53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5CC5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7314122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27D203B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202EAB0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506B027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生活饮用水检测数量</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53D6F9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3CAE4EB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6A7F192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40EC21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581</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66D5D6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份</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3ED95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7A9FEAA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5678933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7863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54E15A4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0B240DD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617E8B7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5530034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直管企业职业健康体检</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55F7E9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90642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06F0362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4600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3922D1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4700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4EAF86E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人次</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84269D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049F0DF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697198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423F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0784EB7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33FBA8B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65C10CC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4F2F78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厂矿企业粉尘噪声毒物等检测数量</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425BA8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25C56D5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65ACED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F8EBC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12</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436B50E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家</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3B4C42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12BF636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8E929F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DAC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336DC72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5570512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tcBorders>
              <w:top w:val="single" w:color="000000" w:sz="4" w:space="0"/>
              <w:left w:val="single" w:color="000000" w:sz="4" w:space="0"/>
              <w:bottom w:val="nil"/>
              <w:right w:val="single" w:color="000000" w:sz="4" w:space="0"/>
            </w:tcBorders>
            <w:shd w:val="clear" w:color="auto" w:fill="auto"/>
            <w:vAlign w:val="center"/>
          </w:tcPr>
          <w:p w14:paraId="5827ED6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质量指标</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25D553A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达到体检标准</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1962E2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2A2941A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1FF1413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规范完成</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BD2016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规范完成</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75FF5A5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8A8C36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75DF027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CFED3C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37D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0A736FD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23B5E22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71CBB4E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时效指标</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2773305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公共场所微小气候监测时限</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60BF27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19C0170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0E7EFC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2023.1-2023.12</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0401A6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年底前完成</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6C2D26B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D3C964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53400E6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476224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7950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2D79E1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73F8201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7DB170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6791902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健康证办证时限</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27A9EF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57A7C4B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7AF2C8B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2023.1-2023.12</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AFBBF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年底前完成</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33628E26">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E02F73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575A52A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F16C46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4BED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6177C09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4EE949D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44805CE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585CF04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直管企业职业体检时间</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62DAA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5AD487F3">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6138D9D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2023.1-2023.12</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867779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年底前完成</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5A39FD1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C69A6F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200BC3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02D06B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0532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5C9F972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2BAAF85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57F95C2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成本指标</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5E7371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放射工作人员健康体检成本</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B48EBA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反向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262196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小于等于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7A26DC3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700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F99489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700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23B2C39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元/人次</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36D17C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2BECFF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B3CB47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781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538E85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4923735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46953CC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62858B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公共场所微小气候监测</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845D50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反向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0A2C2D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小于等于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2E5C4693">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400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2C1382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400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6B9D963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元/人次</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EE260A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28D523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1206B2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8EF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4AA5B0E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29126C1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6F772A7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7FDFB3A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生活饮用水检测数量</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437D3F0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反向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3DC62D6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小于等于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1A4B2AB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3200</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49420EA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3200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74E4D88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元/份</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45C82A6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40C526D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53C0B5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0F7B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645C25A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14:paraId="5132B5D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效益指标</w:t>
            </w:r>
          </w:p>
        </w:tc>
        <w:tc>
          <w:tcPr>
            <w:tcW w:w="383" w:type="pct"/>
            <w:tcBorders>
              <w:top w:val="single" w:color="000000" w:sz="4" w:space="0"/>
              <w:left w:val="single" w:color="000000" w:sz="4" w:space="0"/>
              <w:bottom w:val="nil"/>
              <w:right w:val="single" w:color="000000" w:sz="4" w:space="0"/>
            </w:tcBorders>
            <w:shd w:val="clear" w:color="auto" w:fill="auto"/>
            <w:vAlign w:val="center"/>
          </w:tcPr>
          <w:p w14:paraId="7B27E6E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经济效益</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1581014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公共场所从业人员体检为个人减负</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ECC666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7A256C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758B688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153元/人次</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248B5E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153元/人次</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414B6E7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499A6A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189D584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7EB4C7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70A0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1246684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5E057E6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7976767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社会效益</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46DF499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减少放射工作人员健康安全隐患</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942E41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5530DC8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4F7E003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明显减少</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65591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明显减少</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5E7A72D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FE640A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337DF1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3132C09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16F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5BBBC59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4AC9904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3F2FDE7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048B380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减少公共场所从业人员健康安全隐患</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449063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61CA48E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381A7ED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明显减少</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9789FF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明显减少</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21AD72E0">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E8B531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6519CEA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0AEE8CB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41C1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3CEA789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443EDCD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2E0B141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540C0FE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减少企业经济负担促进企业发展</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843CA6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69F1417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324599F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有效促进</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47DFB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有效促进</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12F86EF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D71D8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1F3CAD9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1F29B1D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4808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4C8C29D2">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4028D87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72385AD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可持续影响</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2AEFDA1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持续推进职业病危害源头治理</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793764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2BF50FC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6972125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有效推进</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BB409F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有效促进</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59B6C47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F1CE57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6A0B333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BEB3A7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50DA1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6A3CABD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08079A9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3DB7AA8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6CCF423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保障劳动者职业健康权益</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249263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42EDBA71">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254AB6B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有效保障</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9E9E08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有效保障</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61DD2E8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4E00B0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55AB837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BFA773F">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CC7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6FF7BF1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18185599">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68A78CF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37D68E7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预防职业病发生</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6C835C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定性</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0ACAC1A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769" w:type="pct"/>
            <w:tcBorders>
              <w:top w:val="single" w:color="000000" w:sz="4" w:space="0"/>
              <w:left w:val="single" w:color="000000" w:sz="4" w:space="0"/>
              <w:bottom w:val="nil"/>
              <w:right w:val="single" w:color="000000" w:sz="4" w:space="0"/>
            </w:tcBorders>
            <w:shd w:val="clear" w:color="auto" w:fill="auto"/>
            <w:vAlign w:val="center"/>
          </w:tcPr>
          <w:p w14:paraId="6639E7E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有效预防</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6465E64F">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有效预防</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17F0A8C8">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0E0A57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3E3E868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5</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3CE819C">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061B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02DBF9ED">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14:paraId="257C9872">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满意度指标</w:t>
            </w:r>
          </w:p>
        </w:tc>
        <w:tc>
          <w:tcPr>
            <w:tcW w:w="383" w:type="pct"/>
            <w:vMerge w:val="restart"/>
            <w:tcBorders>
              <w:top w:val="single" w:color="000000" w:sz="4" w:space="0"/>
              <w:left w:val="single" w:color="000000" w:sz="4" w:space="0"/>
              <w:bottom w:val="nil"/>
              <w:right w:val="single" w:color="000000" w:sz="4" w:space="0"/>
            </w:tcBorders>
            <w:shd w:val="clear" w:color="auto" w:fill="auto"/>
            <w:vAlign w:val="center"/>
          </w:tcPr>
          <w:p w14:paraId="458A99E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服务对象满意度</w:t>
            </w:r>
          </w:p>
        </w:tc>
        <w:tc>
          <w:tcPr>
            <w:tcW w:w="476" w:type="pct"/>
            <w:tcBorders>
              <w:top w:val="single" w:color="000000" w:sz="4" w:space="0"/>
              <w:left w:val="single" w:color="000000" w:sz="4" w:space="0"/>
              <w:bottom w:val="nil"/>
              <w:right w:val="single" w:color="000000" w:sz="4" w:space="0"/>
            </w:tcBorders>
            <w:shd w:val="clear" w:color="auto" w:fill="auto"/>
            <w:vAlign w:val="center"/>
          </w:tcPr>
          <w:p w14:paraId="3C57412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放射工作人员对职业健康体检工作的满意度</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4A2B72B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24706D0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72D1881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85</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72BF444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95</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6FCE3C0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8D65C3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5A450F5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672CADCB">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A74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7ECE953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3B107B0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0BA844BE">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3AEE2BF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公共场所从业人员对预防性体检的满意度</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0F7BF1D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0AE47B1A">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13A465C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85</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2BF43D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99</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493A3B16">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554C7189">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0B85168E">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3</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4FBBCA0A">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299B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0" w:type="pct"/>
            <w:vMerge w:val="continue"/>
            <w:tcBorders>
              <w:top w:val="single" w:color="000000" w:sz="4" w:space="0"/>
              <w:left w:val="single" w:color="000000" w:sz="4" w:space="0"/>
              <w:bottom w:val="nil"/>
              <w:right w:val="single" w:color="000000" w:sz="4" w:space="0"/>
            </w:tcBorders>
            <w:shd w:val="clear" w:color="auto" w:fill="auto"/>
            <w:vAlign w:val="center"/>
          </w:tcPr>
          <w:p w14:paraId="55DA0DE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5FA9ECB4">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383" w:type="pct"/>
            <w:vMerge w:val="continue"/>
            <w:tcBorders>
              <w:top w:val="single" w:color="000000" w:sz="4" w:space="0"/>
              <w:left w:val="single" w:color="000000" w:sz="4" w:space="0"/>
              <w:bottom w:val="nil"/>
              <w:right w:val="single" w:color="000000" w:sz="4" w:space="0"/>
            </w:tcBorders>
            <w:shd w:val="clear" w:color="auto" w:fill="auto"/>
            <w:vAlign w:val="center"/>
          </w:tcPr>
          <w:p w14:paraId="67185415">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c>
          <w:tcPr>
            <w:tcW w:w="476" w:type="pct"/>
            <w:tcBorders>
              <w:top w:val="single" w:color="000000" w:sz="4" w:space="0"/>
              <w:left w:val="single" w:color="000000" w:sz="4" w:space="0"/>
              <w:bottom w:val="nil"/>
              <w:right w:val="single" w:color="000000" w:sz="4" w:space="0"/>
            </w:tcBorders>
            <w:shd w:val="clear" w:color="auto" w:fill="auto"/>
            <w:vAlign w:val="center"/>
          </w:tcPr>
          <w:p w14:paraId="379D515D">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厂矿工人对职业健康体检工作的满意度</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3289142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正向</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5722316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大于等于</w:t>
            </w:r>
          </w:p>
        </w:tc>
        <w:tc>
          <w:tcPr>
            <w:tcW w:w="769" w:type="pct"/>
            <w:tcBorders>
              <w:top w:val="single" w:color="000000" w:sz="4" w:space="0"/>
              <w:left w:val="single" w:color="000000" w:sz="4" w:space="0"/>
              <w:bottom w:val="nil"/>
              <w:right w:val="single" w:color="000000" w:sz="4" w:space="0"/>
            </w:tcBorders>
            <w:shd w:val="clear" w:color="auto" w:fill="auto"/>
            <w:vAlign w:val="center"/>
          </w:tcPr>
          <w:p w14:paraId="7CD40191">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85</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27150DC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389" w:type="pct"/>
            <w:tcBorders>
              <w:top w:val="single" w:color="000000" w:sz="4" w:space="0"/>
              <w:left w:val="single" w:color="000000" w:sz="4" w:space="0"/>
              <w:bottom w:val="nil"/>
              <w:right w:val="single" w:color="000000" w:sz="4" w:space="0"/>
            </w:tcBorders>
            <w:shd w:val="clear" w:color="auto" w:fill="auto"/>
            <w:vAlign w:val="center"/>
          </w:tcPr>
          <w:p w14:paraId="39B41E18">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w:t>
            </w:r>
          </w:p>
        </w:tc>
        <w:tc>
          <w:tcPr>
            <w:tcW w:w="374" w:type="pct"/>
            <w:tcBorders>
              <w:top w:val="single" w:color="000000" w:sz="4" w:space="0"/>
              <w:left w:val="single" w:color="000000" w:sz="4" w:space="0"/>
              <w:bottom w:val="nil"/>
              <w:right w:val="single" w:color="000000" w:sz="4" w:space="0"/>
            </w:tcBorders>
            <w:shd w:val="clear" w:color="auto" w:fill="auto"/>
            <w:vAlign w:val="center"/>
          </w:tcPr>
          <w:p w14:paraId="159783D5">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394" w:type="pct"/>
            <w:tcBorders>
              <w:top w:val="single" w:color="000000" w:sz="4" w:space="0"/>
              <w:left w:val="single" w:color="000000" w:sz="4" w:space="0"/>
              <w:bottom w:val="nil"/>
              <w:right w:val="single" w:color="000000" w:sz="4" w:space="0"/>
            </w:tcBorders>
            <w:shd w:val="clear" w:color="auto" w:fill="auto"/>
            <w:vAlign w:val="center"/>
          </w:tcPr>
          <w:p w14:paraId="5706C23C">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4</w:t>
            </w:r>
          </w:p>
        </w:tc>
        <w:tc>
          <w:tcPr>
            <w:tcW w:w="403" w:type="pct"/>
            <w:tcBorders>
              <w:top w:val="single" w:color="000000" w:sz="4" w:space="0"/>
              <w:left w:val="single" w:color="000000" w:sz="4" w:space="0"/>
              <w:bottom w:val="nil"/>
              <w:right w:val="single" w:color="000000" w:sz="4" w:space="0"/>
            </w:tcBorders>
            <w:shd w:val="clear" w:color="auto" w:fill="auto"/>
            <w:vAlign w:val="center"/>
          </w:tcPr>
          <w:p w14:paraId="7D7B2FA7">
            <w:pPr>
              <w:keepNext w:val="0"/>
              <w:keepLines w:val="0"/>
              <w:pageBreakBefore w:val="0"/>
              <w:wordWrap/>
              <w:overflowPunct/>
              <w:topLinePunct w:val="0"/>
              <w:bidi w:val="0"/>
              <w:spacing w:line="560" w:lineRule="atLeast"/>
              <w:ind w:left="0" w:leftChars="0"/>
              <w:jc w:val="center"/>
              <w:rPr>
                <w:rFonts w:hint="eastAsia" w:ascii="仿宋_GB2312" w:hAnsi="仿宋_GB2312" w:eastAsia="仿宋_GB2312" w:cs="仿宋_GB2312"/>
                <w:snapToGrid w:val="0"/>
                <w:color w:val="000000"/>
                <w:spacing w:val="-2"/>
                <w:kern w:val="0"/>
                <w:sz w:val="18"/>
                <w:szCs w:val="18"/>
                <w:lang w:val="en-US" w:eastAsia="zh-CN" w:bidi="ar-SA"/>
              </w:rPr>
            </w:pPr>
          </w:p>
        </w:tc>
      </w:tr>
      <w:tr w14:paraId="53D2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2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6E07D0">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总分</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C097">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C92B">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r>
              <w:rPr>
                <w:rFonts w:hint="eastAsia" w:ascii="仿宋_GB2312" w:hAnsi="仿宋_GB2312" w:eastAsia="仿宋_GB2312" w:cs="仿宋_GB2312"/>
                <w:snapToGrid w:val="0"/>
                <w:color w:val="000000"/>
                <w:spacing w:val="-2"/>
                <w:kern w:val="0"/>
                <w:sz w:val="18"/>
                <w:szCs w:val="18"/>
                <w:lang w:val="en-US" w:eastAsia="zh-CN" w:bidi="ar-SA"/>
              </w:rPr>
              <w:t>99.51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0C14">
            <w:pPr>
              <w:keepNext w:val="0"/>
              <w:keepLines w:val="0"/>
              <w:pageBreakBefore w:val="0"/>
              <w:widowControl/>
              <w:suppressLineNumbers w:val="0"/>
              <w:wordWrap/>
              <w:overflowPunct/>
              <w:topLinePunct w:val="0"/>
              <w:bidi w:val="0"/>
              <w:spacing w:line="560" w:lineRule="atLeast"/>
              <w:ind w:left="0" w:leftChars="0"/>
              <w:jc w:val="center"/>
              <w:textAlignment w:val="center"/>
              <w:rPr>
                <w:rFonts w:hint="eastAsia" w:ascii="仿宋_GB2312" w:hAnsi="仿宋_GB2312" w:eastAsia="仿宋_GB2312" w:cs="仿宋_GB2312"/>
                <w:snapToGrid w:val="0"/>
                <w:color w:val="000000"/>
                <w:spacing w:val="-2"/>
                <w:kern w:val="0"/>
                <w:sz w:val="18"/>
                <w:szCs w:val="18"/>
                <w:lang w:val="en-US" w:eastAsia="zh-CN" w:bidi="ar-SA"/>
              </w:rPr>
            </w:pPr>
          </w:p>
        </w:tc>
      </w:tr>
    </w:tbl>
    <w:p w14:paraId="765E751D">
      <w:pPr>
        <w:keepNext w:val="0"/>
        <w:keepLines w:val="0"/>
        <w:pageBreakBefore w:val="0"/>
        <w:widowControl/>
        <w:wordWrap/>
        <w:overflowPunct/>
        <w:topLinePunct w:val="0"/>
        <w:bidi w:val="0"/>
        <w:spacing w:line="560" w:lineRule="atLeast"/>
        <w:ind w:left="0" w:leftChars="0" w:firstLine="320" w:firstLineChars="100"/>
        <w:jc w:val="left"/>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（三）单位项目绩效评价结果</w:t>
      </w:r>
    </w:p>
    <w:p w14:paraId="3B26E533">
      <w:pPr>
        <w:spacing w:line="620" w:lineRule="exact"/>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本单位本年没有重点项目绩效评价。</w:t>
      </w:r>
    </w:p>
    <w:p w14:paraId="0BE9CCBD">
      <w:pPr>
        <w:pStyle w:val="3"/>
        <w:keepNext w:val="0"/>
        <w:keepLines w:val="0"/>
        <w:widowControl/>
        <w:spacing w:before="299" w:after="299" w:line="240" w:lineRule="auto"/>
        <w:jc w:val="center"/>
        <w:outlineLvl w:val="9"/>
        <w:rPr>
          <w:rFonts w:ascii="fang_zheng_xiao_biao_song_ti" w:hAnsi="fang_zheng_xiao_biao_song_ti" w:eastAsia="fang_zheng_xiao_biao_song_ti" w:cs="fang_zheng_xiao_biao_song_ti"/>
          <w:kern w:val="0"/>
          <w:sz w:val="36"/>
          <w:szCs w:val="36"/>
        </w:rPr>
      </w:pPr>
    </w:p>
    <w:p w14:paraId="7923EF2D">
      <w:pPr>
        <w:keepNext w:val="0"/>
        <w:keepLines w:val="0"/>
        <w:pageBreakBefore w:val="0"/>
        <w:widowControl/>
        <w:wordWrap/>
        <w:overflowPunct/>
        <w:topLinePunct w:val="0"/>
        <w:bidi w:val="0"/>
        <w:spacing w:line="560" w:lineRule="atLeast"/>
        <w:jc w:val="center"/>
        <w:outlineLvl w:val="0"/>
        <w:rPr>
          <w:rFonts w:hint="eastAsia" w:ascii="方正小标宋简体" w:hAnsi="方正小标宋简体" w:eastAsia="方正小标宋简体" w:cs="方正小标宋简体"/>
          <w:kern w:val="0"/>
          <w:sz w:val="44"/>
          <w:szCs w:val="44"/>
        </w:rPr>
      </w:pPr>
      <w:bookmarkStart w:id="69" w:name="_Toc10772"/>
      <w:r>
        <w:rPr>
          <w:rFonts w:hint="eastAsia" w:ascii="方正小标宋简体" w:hAnsi="方正小标宋简体" w:eastAsia="方正小标宋简体" w:cs="方正小标宋简体"/>
          <w:kern w:val="0"/>
          <w:sz w:val="44"/>
          <w:szCs w:val="44"/>
        </w:rPr>
        <w:t>第三部分  名词解释</w:t>
      </w:r>
      <w:bookmarkEnd w:id="69"/>
    </w:p>
    <w:p w14:paraId="2CE393B9">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ascii="fang_song_gb2312" w:hAnsi="fang_song_gb2312" w:eastAsia="fang_song_gb2312" w:cs="fang_song_gb2312"/>
          <w:b/>
          <w:bCs/>
          <w:kern w:val="0"/>
          <w:sz w:val="27"/>
          <w:szCs w:val="27"/>
        </w:rPr>
        <w:t xml:space="preserve">  </w:t>
      </w:r>
      <w:r>
        <w:rPr>
          <w:rFonts w:hint="eastAsia" w:ascii="黑体" w:hAnsi="黑体" w:eastAsia="黑体" w:cs="黑体"/>
          <w:b w:val="0"/>
          <w:bCs w:val="0"/>
          <w:kern w:val="0"/>
          <w:sz w:val="32"/>
          <w:szCs w:val="32"/>
        </w:rPr>
        <w:t>  一、财政拨款收入：</w:t>
      </w:r>
      <w:r>
        <w:rPr>
          <w:rFonts w:hint="eastAsia" w:ascii="仿宋_GB2312" w:hAnsi="仿宋_GB2312" w:eastAsia="仿宋_GB2312" w:cs="仿宋_GB2312"/>
          <w:kern w:val="0"/>
          <w:sz w:val="32"/>
          <w:szCs w:val="32"/>
        </w:rPr>
        <w:t>从同级财政部门取得的各类财政拨款，包括一般公共预算财政拨款、政府性基金预算财政拨款、国有资本经营预算财政拨款。</w:t>
      </w:r>
    </w:p>
    <w:p w14:paraId="47B09972">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ascii="fang_song_gb2312" w:hAnsi="fang_song_gb2312" w:eastAsia="fang_song_gb2312" w:cs="fang_song_gb2312"/>
          <w:b/>
          <w:bCs/>
          <w:kern w:val="0"/>
          <w:sz w:val="27"/>
          <w:szCs w:val="27"/>
        </w:rPr>
        <w:t>   </w:t>
      </w:r>
      <w:r>
        <w:rPr>
          <w:rFonts w:hint="eastAsia" w:ascii="黑体" w:hAnsi="黑体" w:eastAsia="黑体" w:cs="黑体"/>
          <w:b w:val="0"/>
          <w:bCs w:val="0"/>
          <w:kern w:val="0"/>
          <w:sz w:val="32"/>
          <w:szCs w:val="32"/>
        </w:rPr>
        <w:t xml:space="preserve"> 二、上级补助收入：</w:t>
      </w:r>
      <w:r>
        <w:rPr>
          <w:rFonts w:hint="eastAsia" w:ascii="仿宋_GB2312" w:hAnsi="仿宋_GB2312" w:eastAsia="仿宋_GB2312" w:cs="仿宋_GB2312"/>
          <w:kern w:val="0"/>
          <w:sz w:val="32"/>
          <w:szCs w:val="32"/>
        </w:rPr>
        <w:t>指事业单位从主管部门和上级单位取得的非财政补助收入。</w:t>
      </w:r>
    </w:p>
    <w:p w14:paraId="1A85C069">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ascii="fang_song_gb2312" w:hAnsi="fang_song_gb2312" w:eastAsia="fang_song_gb2312" w:cs="fang_song_gb2312"/>
          <w:b/>
          <w:bCs/>
          <w:kern w:val="0"/>
          <w:sz w:val="27"/>
          <w:szCs w:val="27"/>
        </w:rPr>
        <w:t xml:space="preserve">    </w:t>
      </w:r>
      <w:r>
        <w:rPr>
          <w:rFonts w:hint="eastAsia" w:ascii="黑体" w:hAnsi="黑体" w:eastAsia="黑体" w:cs="黑体"/>
          <w:b w:val="0"/>
          <w:bCs w:val="0"/>
          <w:kern w:val="0"/>
          <w:sz w:val="32"/>
          <w:szCs w:val="32"/>
        </w:rPr>
        <w:t>三、财政专户管理教育收费：</w:t>
      </w:r>
      <w:r>
        <w:rPr>
          <w:rFonts w:hint="eastAsia" w:ascii="仿宋_GB2312" w:hAnsi="仿宋_GB2312" w:eastAsia="仿宋_GB2312" w:cs="仿宋_GB2312"/>
          <w:kern w:val="0"/>
          <w:sz w:val="32"/>
          <w:szCs w:val="32"/>
        </w:rPr>
        <w:t>指缴入财政专户、实行专项管理的高中以上学费、住宿费、高校委托培养费、函大、电大、夜大及短训班培训费等教育收费。</w:t>
      </w:r>
    </w:p>
    <w:p w14:paraId="39030FAC">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四、事业收入：</w:t>
      </w:r>
      <w:r>
        <w:rPr>
          <w:rFonts w:hint="eastAsia" w:ascii="仿宋_GB2312" w:hAnsi="仿宋_GB2312" w:eastAsia="仿宋_GB2312" w:cs="仿宋_GB2312"/>
          <w:kern w:val="0"/>
          <w:sz w:val="32"/>
          <w:szCs w:val="32"/>
        </w:rPr>
        <w:t>指事业单位开展专业业务活动及其辅助活动取得的收入。</w:t>
      </w:r>
    </w:p>
    <w:p w14:paraId="0735C766">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五、经营收入：</w:t>
      </w:r>
      <w:r>
        <w:rPr>
          <w:rFonts w:hint="eastAsia" w:ascii="仿宋_GB2312" w:hAnsi="仿宋_GB2312" w:eastAsia="仿宋_GB2312" w:cs="仿宋_GB2312"/>
          <w:kern w:val="0"/>
          <w:sz w:val="32"/>
          <w:szCs w:val="32"/>
        </w:rPr>
        <w:t>指事业单位在专业业务活动及其辅助活动之外开展非独立核算经营活动取得的收入。</w:t>
      </w:r>
    </w:p>
    <w:p w14:paraId="485136E7">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六、附属单位上缴收入：</w:t>
      </w:r>
      <w:r>
        <w:rPr>
          <w:rFonts w:hint="eastAsia" w:ascii="仿宋_GB2312" w:hAnsi="仿宋_GB2312" w:eastAsia="仿宋_GB2312" w:cs="仿宋_GB2312"/>
          <w:kern w:val="0"/>
          <w:sz w:val="32"/>
          <w:szCs w:val="32"/>
        </w:rPr>
        <w:t>指事业单位取得附属独立核算单位按照有关规定上缴的收入。</w:t>
      </w:r>
    </w:p>
    <w:p w14:paraId="7901FB8C">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七、其他收入：</w:t>
      </w:r>
      <w:r>
        <w:rPr>
          <w:rFonts w:hint="eastAsia" w:ascii="仿宋_GB2312" w:hAnsi="仿宋_GB2312" w:eastAsia="仿宋_GB2312" w:cs="仿宋_GB2312"/>
          <w:kern w:val="0"/>
          <w:sz w:val="32"/>
          <w:szCs w:val="32"/>
        </w:rPr>
        <w:t>取得的除上述“财政拨款收入”、“上级补助收入”、“事业收入”、“经营收入”、“附属单位上缴收入”等以外的各项收入。</w:t>
      </w:r>
    </w:p>
    <w:p w14:paraId="788E446D">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b w:val="0"/>
          <w:bCs w:val="0"/>
          <w:kern w:val="0"/>
          <w:sz w:val="32"/>
          <w:szCs w:val="32"/>
        </w:rPr>
        <w:t xml:space="preserve"> 八、使用非财政拨款结余和专用结余：</w:t>
      </w:r>
      <w:r>
        <w:rPr>
          <w:rFonts w:hint="eastAsia" w:ascii="仿宋_GB2312" w:hAnsi="仿宋_GB2312" w:eastAsia="仿宋_GB2312" w:cs="仿宋_GB2312"/>
          <w:kern w:val="0"/>
          <w:sz w:val="32"/>
          <w:szCs w:val="32"/>
        </w:rPr>
        <w:t>指事业单位按照预算管理要求使用非财政拨款结余和专用结余弥补当年收支差额的数额。</w:t>
      </w:r>
    </w:p>
    <w:p w14:paraId="33196F35">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九、年初结转和结余：</w:t>
      </w:r>
      <w:r>
        <w:rPr>
          <w:rFonts w:hint="eastAsia" w:ascii="仿宋_GB2312" w:hAnsi="仿宋_GB2312" w:eastAsia="仿宋_GB2312" w:cs="仿宋_GB2312"/>
          <w:kern w:val="0"/>
          <w:sz w:val="32"/>
          <w:szCs w:val="32"/>
        </w:rPr>
        <w:t>指单位上年结转本年使用的基本支出结转、项目支出结转和结余、经营结余。</w:t>
      </w:r>
    </w:p>
    <w:p w14:paraId="6DCA9FD1">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十、结余分配：</w:t>
      </w:r>
      <w:r>
        <w:rPr>
          <w:rFonts w:hint="eastAsia" w:ascii="仿宋_GB2312" w:hAnsi="仿宋_GB2312" w:eastAsia="仿宋_GB2312" w:cs="仿宋_GB2312"/>
          <w:kern w:val="0"/>
          <w:sz w:val="32"/>
          <w:szCs w:val="32"/>
        </w:rPr>
        <w:t>指事业单位按规定缴纳企业所得税以及从非财政拨款结余或经营结余中提取各类结余的情况。</w:t>
      </w:r>
    </w:p>
    <w:p w14:paraId="064E433B">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十一、年末结转和结余资金：</w:t>
      </w:r>
      <w:r>
        <w:rPr>
          <w:rFonts w:hint="eastAsia" w:ascii="仿宋_GB2312" w:hAnsi="仿宋_GB2312" w:eastAsia="仿宋_GB2312" w:cs="仿宋_GB2312"/>
          <w:kern w:val="0"/>
          <w:sz w:val="32"/>
          <w:szCs w:val="32"/>
        </w:rPr>
        <w:t>指单位结转下年的基本支出结转、项目支出结转和结余、经营结余。</w:t>
      </w:r>
    </w:p>
    <w:p w14:paraId="611E61F9">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十二、基本支出：</w:t>
      </w:r>
      <w:r>
        <w:rPr>
          <w:rFonts w:hint="eastAsia" w:ascii="仿宋_GB2312" w:hAnsi="仿宋_GB2312" w:eastAsia="仿宋_GB2312" w:cs="仿宋_GB2312"/>
          <w:kern w:val="0"/>
          <w:sz w:val="32"/>
          <w:szCs w:val="32"/>
        </w:rPr>
        <w:t>指为保障机构正常运转、完成日常工作任务所发生的支出，包括人员经费和公用经费。</w:t>
      </w:r>
    </w:p>
    <w:p w14:paraId="095C826F">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b w:val="0"/>
          <w:bCs w:val="0"/>
          <w:kern w:val="0"/>
          <w:sz w:val="32"/>
          <w:szCs w:val="32"/>
        </w:rPr>
        <w:t xml:space="preserve"> 十三、项目支出：</w:t>
      </w:r>
      <w:r>
        <w:rPr>
          <w:rFonts w:hint="eastAsia" w:ascii="仿宋_GB2312" w:hAnsi="仿宋_GB2312" w:eastAsia="仿宋_GB2312" w:cs="仿宋_GB2312"/>
          <w:kern w:val="0"/>
          <w:sz w:val="32"/>
          <w:szCs w:val="32"/>
        </w:rPr>
        <w:t>指在为完成特定的工作任务和事业发展目标所发生的支出。</w:t>
      </w:r>
    </w:p>
    <w:p w14:paraId="44435AEF">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十四、上缴上级支出：</w:t>
      </w:r>
      <w:r>
        <w:rPr>
          <w:rFonts w:hint="eastAsia" w:ascii="仿宋_GB2312" w:hAnsi="仿宋_GB2312" w:eastAsia="仿宋_GB2312" w:cs="仿宋_GB2312"/>
          <w:kern w:val="0"/>
          <w:sz w:val="32"/>
          <w:szCs w:val="32"/>
        </w:rPr>
        <w:t>指事业单位按照财政部门和主管部门的规定上缴上级单位的支出。</w:t>
      </w:r>
    </w:p>
    <w:p w14:paraId="10CFC89A">
      <w:pPr>
        <w:keepNext w:val="0"/>
        <w:keepLines w:val="0"/>
        <w:pageBreakBefore w:val="0"/>
        <w:widowControl/>
        <w:wordWrap/>
        <w:overflowPunct/>
        <w:topLinePunct w:val="0"/>
        <w:bidi w:val="0"/>
        <w:spacing w:line="560" w:lineRule="atLeast"/>
        <w:ind w:left="0" w:leftChars="0" w:firstLine="497"/>
        <w:jc w:val="left"/>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十五、经营支出：</w:t>
      </w:r>
      <w:r>
        <w:rPr>
          <w:rFonts w:hint="eastAsia" w:ascii="仿宋_GB2312" w:hAnsi="仿宋_GB2312" w:eastAsia="仿宋_GB2312" w:cs="仿宋_GB2312"/>
          <w:kern w:val="0"/>
          <w:sz w:val="32"/>
          <w:szCs w:val="32"/>
        </w:rPr>
        <w:t>指事业单位在专业业务活动及其辅助活动之外开展非独立核算经营活动发生的支出。</w:t>
      </w:r>
    </w:p>
    <w:p w14:paraId="06FFFA9B">
      <w:pPr>
        <w:keepNext w:val="0"/>
        <w:keepLines w:val="0"/>
        <w:pageBreakBefore w:val="0"/>
        <w:widowControl/>
        <w:wordWrap/>
        <w:overflowPunct/>
        <w:topLinePunct w:val="0"/>
        <w:bidi w:val="0"/>
        <w:spacing w:line="560" w:lineRule="atLeast"/>
        <w:ind w:left="0" w:leftChars="0" w:firstLine="497"/>
        <w:jc w:val="left"/>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十六、对附属单位补助支出：</w:t>
      </w:r>
      <w:r>
        <w:rPr>
          <w:rFonts w:hint="eastAsia" w:ascii="仿宋_GB2312" w:hAnsi="仿宋_GB2312" w:eastAsia="仿宋_GB2312" w:cs="仿宋_GB2312"/>
          <w:kern w:val="0"/>
          <w:sz w:val="32"/>
          <w:szCs w:val="32"/>
        </w:rPr>
        <w:t>指事业单位用财政拨款收入之外的收入对附属单位补助发生的支出。</w:t>
      </w:r>
    </w:p>
    <w:p w14:paraId="77907445">
      <w:pPr>
        <w:keepNext w:val="0"/>
        <w:keepLines w:val="0"/>
        <w:pageBreakBefore w:val="0"/>
        <w:widowControl/>
        <w:wordWrap/>
        <w:overflowPunct/>
        <w:topLinePunct w:val="0"/>
        <w:bidi w:val="0"/>
        <w:spacing w:line="560" w:lineRule="atLeast"/>
        <w:ind w:left="0" w:leftChars="0" w:firstLine="497"/>
        <w:jc w:val="left"/>
        <w:outlineLvl w:val="9"/>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十七、“三公”经费：</w:t>
      </w:r>
      <w:r>
        <w:rPr>
          <w:rFonts w:hint="eastAsia" w:ascii="仿宋_GB2312" w:hAnsi="仿宋_GB2312" w:eastAsia="仿宋_GB2312" w:cs="仿宋_GB2312"/>
          <w:kern w:val="0"/>
          <w:sz w:val="32"/>
          <w:szCs w:val="32"/>
        </w:rPr>
        <w:t>指部门（单位）用财政拨款安排的因公</w:t>
      </w:r>
    </w:p>
    <w:p w14:paraId="54C0CAEB">
      <w:pPr>
        <w:keepNext w:val="0"/>
        <w:keepLines w:val="0"/>
        <w:pageBreakBefore w:val="0"/>
        <w:widowControl/>
        <w:wordWrap/>
        <w:overflowPunct/>
        <w:topLinePunct w:val="0"/>
        <w:bidi w:val="0"/>
        <w:spacing w:line="560" w:lineRule="atLeast"/>
        <w:ind w:left="0" w:leftChars="0"/>
        <w:jc w:val="left"/>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37CE7493">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val="0"/>
          <w:bCs w:val="0"/>
          <w:kern w:val="0"/>
          <w:sz w:val="32"/>
          <w:szCs w:val="32"/>
        </w:rPr>
        <w:t>十八、机构运行经费：</w:t>
      </w:r>
      <w:r>
        <w:rPr>
          <w:rFonts w:hint="eastAsia" w:ascii="仿宋_GB2312" w:hAnsi="仿宋_GB2312" w:eastAsia="仿宋_GB2312" w:cs="仿宋_GB2312"/>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4E60341">
      <w:pPr>
        <w:keepNext w:val="0"/>
        <w:keepLines w:val="0"/>
        <w:pageBreakBefore w:val="0"/>
        <w:widowControl/>
        <w:wordWrap/>
        <w:overflowPunct/>
        <w:topLinePunct w:val="0"/>
        <w:bidi w:val="0"/>
        <w:spacing w:line="560" w:lineRule="atLeast"/>
        <w:jc w:val="center"/>
        <w:outlineLvl w:val="9"/>
        <w:rPr>
          <w:rFonts w:hint="eastAsia" w:ascii="方正小标宋简体" w:hAnsi="方正小标宋简体" w:eastAsia="方正小标宋简体" w:cs="方正小标宋简体"/>
          <w:kern w:val="0"/>
          <w:sz w:val="44"/>
          <w:szCs w:val="44"/>
        </w:rPr>
      </w:pPr>
    </w:p>
    <w:p w14:paraId="7662D2E9">
      <w:pPr>
        <w:keepNext w:val="0"/>
        <w:keepLines w:val="0"/>
        <w:pageBreakBefore w:val="0"/>
        <w:widowControl/>
        <w:wordWrap/>
        <w:overflowPunct/>
        <w:topLinePunct w:val="0"/>
        <w:bidi w:val="0"/>
        <w:spacing w:line="560" w:lineRule="atLeast"/>
        <w:jc w:val="center"/>
        <w:outlineLvl w:val="0"/>
        <w:rPr>
          <w:rFonts w:hint="eastAsia" w:ascii="方正小标宋简体" w:hAnsi="方正小标宋简体" w:eastAsia="方正小标宋简体" w:cs="方正小标宋简体"/>
          <w:kern w:val="0"/>
          <w:sz w:val="44"/>
          <w:szCs w:val="44"/>
          <w:lang w:val="en-US" w:eastAsia="zh-CN"/>
        </w:rPr>
      </w:pPr>
      <w:bookmarkStart w:id="70" w:name="_Toc65"/>
      <w:r>
        <w:rPr>
          <w:rFonts w:hint="eastAsia" w:ascii="方正小标宋简体" w:hAnsi="方正小标宋简体" w:eastAsia="方正小标宋简体" w:cs="方正小标宋简体"/>
          <w:kern w:val="0"/>
          <w:sz w:val="44"/>
          <w:szCs w:val="44"/>
        </w:rPr>
        <w:t>第四部分 决算公开联系方式及信息反馈渠</w:t>
      </w:r>
      <w:r>
        <w:rPr>
          <w:rFonts w:hint="eastAsia" w:ascii="方正小标宋简体" w:hAnsi="方正小标宋简体" w:eastAsia="方正小标宋简体" w:cs="方正小标宋简体"/>
          <w:kern w:val="0"/>
          <w:sz w:val="44"/>
          <w:szCs w:val="44"/>
          <w:lang w:eastAsia="zh-CN"/>
        </w:rPr>
        <w:t>道</w:t>
      </w:r>
      <w:bookmarkEnd w:id="70"/>
    </w:p>
    <w:p w14:paraId="5A0AFBDC">
      <w:pPr>
        <w:keepNext w:val="0"/>
        <w:keepLines w:val="0"/>
        <w:pageBreakBefore w:val="0"/>
        <w:widowControl/>
        <w:wordWrap/>
        <w:overflowPunct/>
        <w:topLinePunct w:val="0"/>
        <w:bidi w:val="0"/>
        <w:spacing w:line="560" w:lineRule="atLeast"/>
        <w:ind w:left="0" w:leftChars="0" w:firstLine="481"/>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本单位决算公开信息反馈和联系方式：</w:t>
      </w:r>
    </w:p>
    <w:p w14:paraId="170E242D">
      <w:pPr>
        <w:keepNext w:val="0"/>
        <w:keepLines w:val="0"/>
        <w:pageBreakBefore w:val="0"/>
        <w:widowControl/>
        <w:wordWrap/>
        <w:overflowPunct/>
        <w:topLinePunct w:val="0"/>
        <w:bidi w:val="0"/>
        <w:spacing w:line="560" w:lineRule="atLeast"/>
        <w:ind w:left="0" w:leftChars="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联系人：赵烨霞           联系电话：0477-3896570</w:t>
      </w:r>
    </w:p>
    <w:p w14:paraId="275EDDB1">
      <w:pPr>
        <w:keepNext w:val="0"/>
        <w:keepLines w:val="0"/>
        <w:pageBreakBefore w:val="0"/>
        <w:widowControl/>
        <w:wordWrap/>
        <w:overflowPunct/>
        <w:topLinePunct w:val="0"/>
        <w:bidi w:val="0"/>
        <w:spacing w:line="560" w:lineRule="atLeast"/>
        <w:ind w:firstLine="1760" w:firstLineChars="400"/>
        <w:jc w:val="both"/>
        <w:outlineLvl w:val="9"/>
        <w:rPr>
          <w:rFonts w:hint="eastAsia" w:ascii="方正小标宋简体" w:hAnsi="方正小标宋简体" w:eastAsia="方正小标宋简体" w:cs="方正小标宋简体"/>
          <w:b w:val="0"/>
          <w:bCs w:val="0"/>
          <w:kern w:val="0"/>
          <w:sz w:val="44"/>
          <w:szCs w:val="44"/>
        </w:rPr>
      </w:pPr>
    </w:p>
    <w:p w14:paraId="02A99BCB">
      <w:pPr>
        <w:keepNext w:val="0"/>
        <w:keepLines w:val="0"/>
        <w:pageBreakBefore w:val="0"/>
        <w:widowControl/>
        <w:wordWrap/>
        <w:overflowPunct/>
        <w:topLinePunct w:val="0"/>
        <w:bidi w:val="0"/>
        <w:spacing w:line="560" w:lineRule="atLeast"/>
        <w:jc w:val="center"/>
        <w:outlineLvl w:val="0"/>
        <w:rPr>
          <w:rFonts w:hint="eastAsia" w:ascii="方正小标宋简体" w:hAnsi="方正小标宋简体" w:eastAsia="方正小标宋简体" w:cs="方正小标宋简体"/>
          <w:b w:val="0"/>
          <w:bCs w:val="0"/>
          <w:kern w:val="0"/>
          <w:sz w:val="44"/>
          <w:szCs w:val="44"/>
        </w:rPr>
      </w:pPr>
      <w:bookmarkStart w:id="71" w:name="_Toc14081"/>
      <w:r>
        <w:rPr>
          <w:rFonts w:hint="eastAsia" w:ascii="方正小标宋简体" w:hAnsi="方正小标宋简体" w:eastAsia="方正小标宋简体" w:cs="方正小标宋简体"/>
          <w:b w:val="0"/>
          <w:bCs w:val="0"/>
          <w:kern w:val="0"/>
          <w:sz w:val="44"/>
          <w:szCs w:val="44"/>
        </w:rPr>
        <w:t>第五部分</w:t>
      </w:r>
      <w:r>
        <w:rPr>
          <w:rFonts w:hint="eastAsia" w:ascii="方正小标宋简体" w:hAnsi="方正小标宋简体" w:eastAsia="方正小标宋简体" w:cs="方正小标宋简体"/>
          <w:b w:val="0"/>
          <w:bCs w:val="0"/>
          <w:kern w:val="0"/>
          <w:sz w:val="44"/>
          <w:szCs w:val="44"/>
          <w:lang w:val="en-US" w:eastAsia="zh-CN"/>
        </w:rPr>
        <w:t xml:space="preserve"> </w:t>
      </w:r>
      <w:r>
        <w:rPr>
          <w:rFonts w:hint="eastAsia" w:ascii="方正小标宋简体" w:hAnsi="方正小标宋简体" w:eastAsia="方正小标宋简体" w:cs="方正小标宋简体"/>
          <w:b w:val="0"/>
          <w:bCs w:val="0"/>
          <w:kern w:val="0"/>
          <w:sz w:val="44"/>
          <w:szCs w:val="44"/>
        </w:rPr>
        <w:t>单位决算表</w:t>
      </w:r>
      <w:bookmarkEnd w:id="71"/>
    </w:p>
    <w:p w14:paraId="46C8CC49">
      <w:pPr>
        <w:keepNext w:val="0"/>
        <w:keepLines w:val="0"/>
        <w:pageBreakBefore w:val="0"/>
        <w:widowControl/>
        <w:wordWrap/>
        <w:overflowPunct/>
        <w:topLinePunct w:val="0"/>
        <w:bidi w:val="0"/>
        <w:spacing w:line="560" w:lineRule="atLeas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详</w:t>
      </w:r>
      <w:r>
        <w:rPr>
          <w:rFonts w:hint="eastAsia" w:ascii="仿宋_GB2312" w:hAnsi="仿宋_GB2312" w:eastAsia="仿宋_GB2312" w:cs="仿宋_GB2312"/>
          <w:kern w:val="0"/>
          <w:sz w:val="32"/>
          <w:szCs w:val="32"/>
        </w:rPr>
        <w:t>见</w:t>
      </w:r>
      <w:r>
        <w:rPr>
          <w:rFonts w:hint="eastAsia" w:ascii="仿宋_GB2312" w:hAnsi="仿宋_GB2312" w:eastAsia="仿宋_GB2312" w:cs="仿宋_GB2312"/>
          <w:kern w:val="0"/>
          <w:sz w:val="32"/>
          <w:szCs w:val="32"/>
          <w:lang w:eastAsia="zh-CN"/>
        </w:rPr>
        <w:t>附件</w:t>
      </w:r>
    </w:p>
    <w:p w14:paraId="06346106">
      <w:pPr>
        <w:keepNext w:val="0"/>
        <w:keepLines w:val="0"/>
        <w:pageBreakBefore w:val="0"/>
        <w:widowControl/>
        <w:wordWrap/>
        <w:overflowPunct/>
        <w:topLinePunct w:val="0"/>
        <w:bidi w:val="0"/>
        <w:spacing w:line="560" w:lineRule="atLeast"/>
        <w:jc w:val="left"/>
        <w:rPr>
          <w:rFonts w:hint="eastAsia" w:ascii="仿宋_GB2312" w:hAnsi="仿宋_GB2312" w:eastAsia="仿宋_GB2312" w:cs="仿宋_GB2312"/>
          <w:kern w:val="0"/>
          <w:sz w:val="32"/>
          <w:szCs w:val="32"/>
          <w:lang w:eastAsia="zh-CN"/>
        </w:rPr>
      </w:pPr>
    </w:p>
    <w:bookmarkEnd w:id="0"/>
    <w:p w14:paraId="4A34010D">
      <w:pPr>
        <w:tabs>
          <w:tab w:val="left" w:pos="8415"/>
        </w:tabs>
      </w:pPr>
    </w:p>
    <w:sectPr>
      <w:footerReference r:id="rId4" w:type="default"/>
      <w:pgSz w:w="11906" w:h="16838"/>
      <w:pgMar w:top="1440" w:right="1083" w:bottom="1440" w:left="1083" w:header="0" w:footer="72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fang_song_gb2312">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A5C2">
    <w:pPr>
      <w:keepNext w:val="0"/>
      <w:keepLines w:val="0"/>
      <w:widowControl/>
      <w:suppressLineNumbers w:val="0"/>
      <w:spacing w:before="1" w:beforeAutospacing="0"/>
      <w:ind w:left="8545"/>
      <w:rPr>
        <w:rFonts w:hint="eastAsia" w:ascii="宋体" w:hAnsi="宋体" w:eastAsia="宋体" w:cs="宋体"/>
        <w:kern w:val="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A6D3">
    <w:pPr>
      <w:pStyle w:val="12"/>
      <w:jc w:val="center"/>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29A915">
                <w:pPr>
                  <w:pStyle w:val="12"/>
                  <w:jc w:val="center"/>
                </w:pPr>
                <w:r>
                  <w:fldChar w:fldCharType="begin"/>
                </w:r>
                <w:r>
                  <w:instrText xml:space="preserve"> PAGE   \* MERGEFORMAT </w:instrText>
                </w:r>
                <w:r>
                  <w:fldChar w:fldCharType="separate"/>
                </w:r>
                <w:r>
                  <w:rPr>
                    <w:lang w:val="zh-CN"/>
                  </w:rPr>
                  <w:t>24</w:t>
                </w:r>
                <w:r>
                  <w:rPr>
                    <w:lang w:val="zh-CN"/>
                  </w:rPr>
                  <w:fldChar w:fldCharType="end"/>
                </w:r>
              </w:p>
            </w:txbxContent>
          </v:textbox>
        </v:shape>
      </w:pict>
    </w:r>
  </w:p>
  <w:p w14:paraId="6B526863">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3B30"/>
    <w:multiLevelType w:val="singleLevel"/>
    <w:tmpl w:val="C3513B30"/>
    <w:lvl w:ilvl="0" w:tentative="0">
      <w:start w:val="1"/>
      <w:numFmt w:val="chineseCounting"/>
      <w:suff w:val="nothing"/>
      <w:lvlText w:val="（%1）"/>
      <w:lvlJc w:val="left"/>
      <w:rPr>
        <w:rFonts w:hint="eastAsia" w:ascii="楷体_GB2312" w:hAnsi="楷体_GB2312" w:eastAsia="楷体_GB2312" w:cs="楷体_GB2312"/>
        <w:b w:val="0"/>
        <w:bCs w:val="0"/>
        <w:sz w:val="32"/>
        <w:szCs w:val="32"/>
      </w:rPr>
    </w:lvl>
  </w:abstractNum>
  <w:abstractNum w:abstractNumId="1">
    <w:nsid w:val="DE0A6787"/>
    <w:multiLevelType w:val="singleLevel"/>
    <w:tmpl w:val="DE0A6787"/>
    <w:lvl w:ilvl="0" w:tentative="0">
      <w:start w:val="1"/>
      <w:numFmt w:val="chineseCounting"/>
      <w:suff w:val="nothing"/>
      <w:lvlText w:val="（%1）"/>
      <w:lvlJc w:val="left"/>
      <w:rPr>
        <w:rFonts w:hint="eastAsia" w:ascii="楷体_GB2312" w:hAnsi="楷体_GB2312" w:eastAsia="楷体_GB2312" w:cs="楷体_GB2312"/>
        <w:b w:val="0"/>
        <w:bCs w:val="0"/>
        <w:sz w:val="32"/>
        <w:szCs w:val="32"/>
      </w:rPr>
    </w:lvl>
  </w:abstractNum>
  <w:abstractNum w:abstractNumId="2">
    <w:nsid w:val="46B16634"/>
    <w:multiLevelType w:val="singleLevel"/>
    <w:tmpl w:val="46B16634"/>
    <w:lvl w:ilvl="0" w:tentative="0">
      <w:start w:val="2"/>
      <w:numFmt w:val="chineseCounting"/>
      <w:suff w:val="nothing"/>
      <w:lvlText w:val="（%1）"/>
      <w:lvlJc w:val="left"/>
      <w:rPr>
        <w:rFonts w:hint="eastAsia"/>
      </w:rPr>
    </w:lvl>
  </w:abstractNum>
  <w:abstractNum w:abstractNumId="3">
    <w:nsid w:val="66518729"/>
    <w:multiLevelType w:val="singleLevel"/>
    <w:tmpl w:val="66518729"/>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4ZTgzMjJjZjUzZWM5NmY0NjhlODFlNjhkYTFmZmI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CF67DF"/>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21E7E32"/>
    <w:rsid w:val="02FC76B4"/>
    <w:rsid w:val="03323B24"/>
    <w:rsid w:val="04B769D7"/>
    <w:rsid w:val="052D3B24"/>
    <w:rsid w:val="0696086E"/>
    <w:rsid w:val="070E6657"/>
    <w:rsid w:val="071A149F"/>
    <w:rsid w:val="07416A2C"/>
    <w:rsid w:val="07577FFE"/>
    <w:rsid w:val="07B23646"/>
    <w:rsid w:val="08144141"/>
    <w:rsid w:val="083420ED"/>
    <w:rsid w:val="084C38DA"/>
    <w:rsid w:val="08940DDD"/>
    <w:rsid w:val="08EE00FB"/>
    <w:rsid w:val="09E35B78"/>
    <w:rsid w:val="09EC0632"/>
    <w:rsid w:val="0A6832AB"/>
    <w:rsid w:val="0A747118"/>
    <w:rsid w:val="0B077F8D"/>
    <w:rsid w:val="0B1A1A6E"/>
    <w:rsid w:val="0B4B1100"/>
    <w:rsid w:val="0C0A1165"/>
    <w:rsid w:val="0C0F0EA7"/>
    <w:rsid w:val="0C822574"/>
    <w:rsid w:val="0C887E07"/>
    <w:rsid w:val="0CD13741"/>
    <w:rsid w:val="0D523741"/>
    <w:rsid w:val="0F227AC3"/>
    <w:rsid w:val="0F3155D8"/>
    <w:rsid w:val="0F621C35"/>
    <w:rsid w:val="0F9658E5"/>
    <w:rsid w:val="0FED7751"/>
    <w:rsid w:val="10096F2F"/>
    <w:rsid w:val="102C3500"/>
    <w:rsid w:val="10B97633"/>
    <w:rsid w:val="10E01064"/>
    <w:rsid w:val="12A21D85"/>
    <w:rsid w:val="147F0B94"/>
    <w:rsid w:val="161B13E4"/>
    <w:rsid w:val="16412E71"/>
    <w:rsid w:val="17E07B9B"/>
    <w:rsid w:val="18A94431"/>
    <w:rsid w:val="18D23988"/>
    <w:rsid w:val="1A390AE9"/>
    <w:rsid w:val="1A4A57A0"/>
    <w:rsid w:val="1A951111"/>
    <w:rsid w:val="1B966EEF"/>
    <w:rsid w:val="1C154D29"/>
    <w:rsid w:val="1CBA4E5F"/>
    <w:rsid w:val="1CD7209E"/>
    <w:rsid w:val="1D3F7112"/>
    <w:rsid w:val="1D8F11D2"/>
    <w:rsid w:val="1DE44365"/>
    <w:rsid w:val="1FC55FF4"/>
    <w:rsid w:val="2002269C"/>
    <w:rsid w:val="200F5033"/>
    <w:rsid w:val="207A2CBA"/>
    <w:rsid w:val="20E97AC1"/>
    <w:rsid w:val="20FB77F4"/>
    <w:rsid w:val="219E4C9A"/>
    <w:rsid w:val="21DD6EFA"/>
    <w:rsid w:val="21E32762"/>
    <w:rsid w:val="226F3FF6"/>
    <w:rsid w:val="22936057"/>
    <w:rsid w:val="22F4686C"/>
    <w:rsid w:val="23404C0D"/>
    <w:rsid w:val="23D21FE8"/>
    <w:rsid w:val="246200F0"/>
    <w:rsid w:val="248D10AB"/>
    <w:rsid w:val="251B0465"/>
    <w:rsid w:val="251F61A7"/>
    <w:rsid w:val="25203CCD"/>
    <w:rsid w:val="25323DC4"/>
    <w:rsid w:val="25AC1A52"/>
    <w:rsid w:val="26E91A6E"/>
    <w:rsid w:val="280D678A"/>
    <w:rsid w:val="281E2746"/>
    <w:rsid w:val="29CC2DAF"/>
    <w:rsid w:val="2A0D6239"/>
    <w:rsid w:val="2CD51841"/>
    <w:rsid w:val="2E2C36E3"/>
    <w:rsid w:val="2EB07E70"/>
    <w:rsid w:val="30627EB2"/>
    <w:rsid w:val="32786EF6"/>
    <w:rsid w:val="32B207B9"/>
    <w:rsid w:val="33264BA4"/>
    <w:rsid w:val="33386686"/>
    <w:rsid w:val="33DC1707"/>
    <w:rsid w:val="3402227D"/>
    <w:rsid w:val="343C3F54"/>
    <w:rsid w:val="344A1390"/>
    <w:rsid w:val="349D0E96"/>
    <w:rsid w:val="34BB30CA"/>
    <w:rsid w:val="34F14D3E"/>
    <w:rsid w:val="359F29EC"/>
    <w:rsid w:val="36415851"/>
    <w:rsid w:val="367573BE"/>
    <w:rsid w:val="374617A5"/>
    <w:rsid w:val="375B510B"/>
    <w:rsid w:val="37AE6F16"/>
    <w:rsid w:val="38183CED"/>
    <w:rsid w:val="383B4C4E"/>
    <w:rsid w:val="3A83468A"/>
    <w:rsid w:val="3ACB0053"/>
    <w:rsid w:val="3B732951"/>
    <w:rsid w:val="3B842468"/>
    <w:rsid w:val="3C1F04D1"/>
    <w:rsid w:val="3D3954D4"/>
    <w:rsid w:val="3D693FF7"/>
    <w:rsid w:val="3FFF47B3"/>
    <w:rsid w:val="40622AED"/>
    <w:rsid w:val="40D914A8"/>
    <w:rsid w:val="4157061F"/>
    <w:rsid w:val="41EA4FEF"/>
    <w:rsid w:val="4214206C"/>
    <w:rsid w:val="44450C02"/>
    <w:rsid w:val="4539487A"/>
    <w:rsid w:val="46492C2C"/>
    <w:rsid w:val="47324D83"/>
    <w:rsid w:val="47DC1144"/>
    <w:rsid w:val="4828061F"/>
    <w:rsid w:val="484511D1"/>
    <w:rsid w:val="485B06F6"/>
    <w:rsid w:val="488937B4"/>
    <w:rsid w:val="4A743FEF"/>
    <w:rsid w:val="4A8204BA"/>
    <w:rsid w:val="4B991F60"/>
    <w:rsid w:val="4D0C03F4"/>
    <w:rsid w:val="4D186EB4"/>
    <w:rsid w:val="4DB27309"/>
    <w:rsid w:val="4DCD751B"/>
    <w:rsid w:val="4E883AF0"/>
    <w:rsid w:val="4F9D7B44"/>
    <w:rsid w:val="50AA42C7"/>
    <w:rsid w:val="51595F77"/>
    <w:rsid w:val="521C5DB3"/>
    <w:rsid w:val="52304CA0"/>
    <w:rsid w:val="5370740E"/>
    <w:rsid w:val="54C53DC5"/>
    <w:rsid w:val="552705DC"/>
    <w:rsid w:val="55305AD2"/>
    <w:rsid w:val="55F2667C"/>
    <w:rsid w:val="56CF57C8"/>
    <w:rsid w:val="56E83D9B"/>
    <w:rsid w:val="575D5EE9"/>
    <w:rsid w:val="57FD5624"/>
    <w:rsid w:val="58797D6B"/>
    <w:rsid w:val="591744C4"/>
    <w:rsid w:val="59832A99"/>
    <w:rsid w:val="59CE54CA"/>
    <w:rsid w:val="5A043312"/>
    <w:rsid w:val="5A7E3159"/>
    <w:rsid w:val="5B032866"/>
    <w:rsid w:val="5CA61FE4"/>
    <w:rsid w:val="5ECE7D1A"/>
    <w:rsid w:val="602D0A71"/>
    <w:rsid w:val="60570CCE"/>
    <w:rsid w:val="606A75CF"/>
    <w:rsid w:val="6162474A"/>
    <w:rsid w:val="61D513C0"/>
    <w:rsid w:val="61F71336"/>
    <w:rsid w:val="62F85366"/>
    <w:rsid w:val="638C7C76"/>
    <w:rsid w:val="63C45248"/>
    <w:rsid w:val="63DE16B9"/>
    <w:rsid w:val="643D768C"/>
    <w:rsid w:val="645A795A"/>
    <w:rsid w:val="65451723"/>
    <w:rsid w:val="662B5A52"/>
    <w:rsid w:val="66F57DCC"/>
    <w:rsid w:val="67542D87"/>
    <w:rsid w:val="683C5A47"/>
    <w:rsid w:val="697F058F"/>
    <w:rsid w:val="6A8D6CDC"/>
    <w:rsid w:val="6ABA55F7"/>
    <w:rsid w:val="6B3B72AC"/>
    <w:rsid w:val="6BAE6F51"/>
    <w:rsid w:val="6BB81B36"/>
    <w:rsid w:val="6BD83F86"/>
    <w:rsid w:val="6D4A0EB4"/>
    <w:rsid w:val="6DFB0400"/>
    <w:rsid w:val="6E4476B1"/>
    <w:rsid w:val="6EF13206"/>
    <w:rsid w:val="6FB72105"/>
    <w:rsid w:val="7055204A"/>
    <w:rsid w:val="70817FDC"/>
    <w:rsid w:val="71AF12E6"/>
    <w:rsid w:val="720261B0"/>
    <w:rsid w:val="737F73DD"/>
    <w:rsid w:val="73BE58EA"/>
    <w:rsid w:val="74744A68"/>
    <w:rsid w:val="768C03AE"/>
    <w:rsid w:val="76A50F09"/>
    <w:rsid w:val="76E539FB"/>
    <w:rsid w:val="772C5BCA"/>
    <w:rsid w:val="77737259"/>
    <w:rsid w:val="77DE1622"/>
    <w:rsid w:val="78054355"/>
    <w:rsid w:val="79D00993"/>
    <w:rsid w:val="79DA536E"/>
    <w:rsid w:val="7AF6294A"/>
    <w:rsid w:val="7B2528B4"/>
    <w:rsid w:val="7B587A97"/>
    <w:rsid w:val="7C4C354E"/>
    <w:rsid w:val="7C563B9D"/>
    <w:rsid w:val="7CC3640F"/>
    <w:rsid w:val="7CF111A9"/>
    <w:rsid w:val="7DB11D69"/>
    <w:rsid w:val="7E1542BD"/>
    <w:rsid w:val="7E21356B"/>
    <w:rsid w:val="7E505BFE"/>
    <w:rsid w:val="7EBA022F"/>
    <w:rsid w:val="7F800765"/>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qFormat/>
    <w:uiPriority w:val="0"/>
    <w:pPr>
      <w:spacing w:before="0" w:beforeAutospacing="0" w:after="140" w:afterAutospacing="0" w:line="264" w:lineRule="auto"/>
      <w:ind w:left="0" w:right="0"/>
      <w:jc w:val="left"/>
    </w:pPr>
    <w:rPr>
      <w:rFonts w:hint="eastAsia" w:ascii="宋体" w:hAnsi="宋体" w:eastAsia="宋体" w:cs="宋体"/>
      <w:kern w:val="0"/>
      <w:sz w:val="24"/>
      <w:szCs w:val="24"/>
      <w:lang w:val="en-US" w:eastAsia="zh-CN" w:bidi="ar"/>
    </w:r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2"/>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PC-20231212DSRU\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PC-20231212DSRU\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工作表.xls]Sheet1'!$C$2</c:f>
              <c:strCache>
                <c:ptCount val="1"/>
                <c:pt idx="0">
                  <c:v>占比</c:v>
                </c:pt>
              </c:strCache>
            </c:strRef>
          </c:tx>
          <c:spPr/>
          <c:explosion val="0"/>
          <c:dPt>
            <c:idx val="0"/>
            <c:bubble3D val="0"/>
            <c:spPr>
              <a:solidFill>
                <a:schemeClr val="accent4">
                  <a:lumMod val="40000"/>
                  <a:lumOff val="60000"/>
                </a:schemeClr>
              </a:solidFill>
              <a:ln>
                <a:solidFill>
                  <a:schemeClr val="bg1"/>
                </a:solidFill>
              </a:ln>
              <a:effectLst/>
            </c:spPr>
          </c:dPt>
          <c:dPt>
            <c:idx val="1"/>
            <c:bubble3D val="0"/>
            <c:spPr>
              <a:solidFill>
                <a:schemeClr val="accent2">
                  <a:lumMod val="40000"/>
                  <a:lumOff val="60000"/>
                </a:schemeClr>
              </a:solidFill>
              <a:ln>
                <a:solidFill>
                  <a:schemeClr val="bg1"/>
                </a:solidFill>
              </a:ln>
              <a:effectLst/>
            </c:spPr>
          </c:dPt>
          <c:dPt>
            <c:idx val="2"/>
            <c:bubble3D val="0"/>
            <c:spPr>
              <a:solidFill>
                <a:schemeClr val="accent1">
                  <a:lumMod val="40000"/>
                  <a:lumOff val="60000"/>
                </a:schemeClr>
              </a:solidFill>
              <a:ln>
                <a:solidFill>
                  <a:schemeClr val="bg1"/>
                </a:solidFill>
              </a:ln>
              <a:effectLst/>
            </c:spPr>
          </c:dPt>
          <c:dLbls>
            <c:dLbl>
              <c:idx val="1"/>
              <c:layout>
                <c:manualLayout>
                  <c:x val="-0.183252092245387"/>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6682774302187"/>
                  <c:y val="0.016857089342573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工作表.xls]Sheet1'!$B$3:$B$5</c:f>
              <c:strCache>
                <c:ptCount val="3"/>
                <c:pt idx="0">
                  <c:v>一般公共预算财政拨款收入</c:v>
                </c:pt>
                <c:pt idx="1">
                  <c:v>事业收入</c:v>
                </c:pt>
                <c:pt idx="2">
                  <c:v>其他收入</c:v>
                </c:pt>
              </c:strCache>
            </c:strRef>
          </c:cat>
          <c:val>
            <c:numRef>
              <c:f>'[新建 XLS 工作表.xls]Sheet1'!$C$3:$C$5</c:f>
              <c:numCache>
                <c:formatCode>0.00%</c:formatCode>
                <c:ptCount val="3"/>
                <c:pt idx="0">
                  <c:v>0.9852</c:v>
                </c:pt>
                <c:pt idx="1">
                  <c:v>0.0133</c:v>
                </c:pt>
                <c:pt idx="2">
                  <c:v>0.0015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sz="105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工作表.xls]Sheet1'!$C$2</c:f>
              <c:strCache>
                <c:ptCount val="1"/>
                <c:pt idx="0">
                  <c:v>占比</c:v>
                </c:pt>
              </c:strCache>
            </c:strRef>
          </c:tx>
          <c:spPr/>
          <c:explosion val="0"/>
          <c:dPt>
            <c:idx val="0"/>
            <c:bubble3D val="0"/>
            <c:spPr>
              <a:solidFill>
                <a:schemeClr val="accent2">
                  <a:lumMod val="60000"/>
                  <a:lumOff val="40000"/>
                </a:schemeClr>
              </a:solidFill>
              <a:ln>
                <a:solidFill>
                  <a:schemeClr val="bg1"/>
                </a:solidFill>
              </a:ln>
              <a:effectLst/>
            </c:spPr>
          </c:dPt>
          <c:dPt>
            <c:idx val="1"/>
            <c:bubble3D val="0"/>
            <c:spPr>
              <a:solidFill>
                <a:schemeClr val="accent1">
                  <a:lumMod val="60000"/>
                  <a:lumOff val="40000"/>
                </a:schemeClr>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mn-lt"/>
                        <a:ea typeface="+mn-ea"/>
                        <a:cs typeface="+mn-cs"/>
                      </a:defRPr>
                    </a:pPr>
                    <a:r>
                      <a:rPr sz="1200"/>
                      <a:t>47</a:t>
                    </a:r>
                    <a:r>
                      <a:rPr lang="en-US" altLang="zh-CN" sz="1200"/>
                      <a:t>.30</a:t>
                    </a:r>
                    <a:r>
                      <a:rPr sz="1200"/>
                      <a:t>%</a:t>
                    </a:r>
                    <a:endParaRPr sz="1200"/>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工作表.xls]Sheet1'!$B$3:$B$4</c:f>
              <c:strCache>
                <c:ptCount val="2"/>
                <c:pt idx="0">
                  <c:v>基本支出</c:v>
                </c:pt>
                <c:pt idx="1">
                  <c:v>项目支出</c:v>
                </c:pt>
              </c:strCache>
            </c:strRef>
          </c:cat>
          <c:val>
            <c:numRef>
              <c:f>'[新建 XLS 工作表.xls]Sheet1'!$C$3:$C$4</c:f>
              <c:numCache>
                <c:formatCode>0.00%</c:formatCode>
                <c:ptCount val="2"/>
                <c:pt idx="0">
                  <c:v>0.473</c:v>
                </c:pt>
                <c:pt idx="1">
                  <c:v>0.527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19583</Words>
  <Characters>22262</Characters>
  <Lines>1</Lines>
  <Paragraphs>1</Paragraphs>
  <TotalTime>22</TotalTime>
  <ScaleCrop>false</ScaleCrop>
  <LinksUpToDate>false</LinksUpToDate>
  <CharactersWithSpaces>22631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2022-03-23T20:40:00Z</dcterms:created>
  <dc:creator>Administrator</dc:creator>
  <cp:lastModifiedBy>xyz</cp:lastModifiedBy>
  <cp:lastPrinted>2021-04-16T08:45:00Z</cp:lastPrinted>
  <dcterms:modified xsi:type="dcterms:W3CDTF">2024-09-30T08:09:27Z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26FA8F15A2A644A4A15F0D70597F8317_12</vt:lpwstr>
  </property>
</Properties>
</file>