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AFC80">
      <w:pPr>
        <w:spacing w:line="600" w:lineRule="exact"/>
        <w:jc w:val="left"/>
        <w:rPr>
          <w:rFonts w:ascii="Arial" w:hAnsi="Arial" w:eastAsia="Symbol"/>
          <w:b/>
          <w:bCs/>
          <w:sz w:val="32"/>
          <w:szCs w:val="32"/>
          <w:highlight w:val="none"/>
        </w:rPr>
      </w:pPr>
    </w:p>
    <w:p w14:paraId="7330A731">
      <w:pPr>
        <w:pStyle w:val="7"/>
        <w:rPr>
          <w:rFonts w:hint="default"/>
          <w:highlight w:val="none"/>
        </w:rPr>
      </w:pPr>
    </w:p>
    <w:p w14:paraId="281A5A8C">
      <w:pPr>
        <w:spacing w:line="600" w:lineRule="exact"/>
        <w:jc w:val="center"/>
        <w:rPr>
          <w:rFonts w:ascii="Arial" w:hAnsi="Arial" w:eastAsia="宋体"/>
          <w:b/>
          <w:bCs/>
          <w:sz w:val="32"/>
          <w:szCs w:val="32"/>
          <w:highlight w:val="none"/>
        </w:rPr>
      </w:pPr>
    </w:p>
    <w:p w14:paraId="0605981C">
      <w:pPr>
        <w:spacing w:line="600" w:lineRule="exact"/>
        <w:jc w:val="center"/>
        <w:rPr>
          <w:rFonts w:ascii="Arial" w:hAnsi="Arial" w:eastAsia="宋体"/>
          <w:b/>
          <w:bCs/>
          <w:sz w:val="32"/>
          <w:szCs w:val="32"/>
          <w:highlight w:val="none"/>
        </w:rPr>
      </w:pPr>
    </w:p>
    <w:p w14:paraId="617F8440">
      <w:pPr>
        <w:spacing w:line="600" w:lineRule="exact"/>
        <w:jc w:val="center"/>
        <w:rPr>
          <w:rFonts w:ascii="Arial" w:hAnsi="Arial" w:eastAsia="宋体"/>
          <w:b/>
          <w:bCs/>
          <w:sz w:val="32"/>
          <w:szCs w:val="32"/>
          <w:highlight w:val="none"/>
        </w:rPr>
      </w:pPr>
    </w:p>
    <w:p w14:paraId="0BF42A8E">
      <w:pPr>
        <w:spacing w:line="60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鄂尔多斯市卫生健康委员会所属</w:t>
      </w:r>
    </w:p>
    <w:p w14:paraId="24C7C1B4">
      <w:pPr>
        <w:spacing w:line="60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鄂尔多斯市 120 医疗救援指挥中心</w:t>
      </w:r>
    </w:p>
    <w:p w14:paraId="0951C381">
      <w:pPr>
        <w:spacing w:line="60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2026 年度</w:t>
      </w:r>
      <w:r>
        <w:rPr>
          <w:rFonts w:hint="eastAsia" w:ascii="方正小标宋简体" w:hAnsi="方正小标宋简体" w:eastAsia="方正小标宋简体" w:cs="方正小标宋简体"/>
          <w:sz w:val="44"/>
          <w:szCs w:val="44"/>
          <w:highlight w:val="none"/>
        </w:rPr>
        <w:t>预算公开</w:t>
      </w:r>
    </w:p>
    <w:p w14:paraId="52B677D1">
      <w:pPr>
        <w:adjustRightInd w:val="0"/>
        <w:snapToGrid w:val="0"/>
        <w:spacing w:line="600" w:lineRule="exact"/>
        <w:ind w:firstLine="640"/>
        <w:rPr>
          <w:rFonts w:ascii="Times New Roman" w:hAnsi="Times New Roman" w:eastAsia="仿宋_GB2312"/>
          <w:sz w:val="32"/>
          <w:szCs w:val="32"/>
          <w:highlight w:val="none"/>
        </w:rPr>
      </w:pPr>
    </w:p>
    <w:p w14:paraId="1326C07B">
      <w:pPr>
        <w:adjustRightInd w:val="0"/>
        <w:snapToGrid w:val="0"/>
        <w:spacing w:line="600" w:lineRule="exact"/>
        <w:ind w:firstLine="640"/>
        <w:rPr>
          <w:rFonts w:ascii="Times New Roman" w:hAnsi="Times New Roman" w:eastAsia="仿宋_GB2312"/>
          <w:sz w:val="32"/>
          <w:szCs w:val="32"/>
          <w:highlight w:val="none"/>
        </w:rPr>
      </w:pPr>
    </w:p>
    <w:p w14:paraId="2A7C5710">
      <w:pPr>
        <w:adjustRightInd w:val="0"/>
        <w:snapToGrid w:val="0"/>
        <w:spacing w:line="600" w:lineRule="exact"/>
        <w:ind w:firstLine="640"/>
        <w:rPr>
          <w:rFonts w:ascii="Times New Roman" w:hAnsi="Times New Roman" w:eastAsia="仿宋_GB2312"/>
          <w:sz w:val="32"/>
          <w:szCs w:val="32"/>
          <w:highlight w:val="none"/>
        </w:rPr>
      </w:pPr>
    </w:p>
    <w:p w14:paraId="6DD546CF">
      <w:pPr>
        <w:adjustRightInd w:val="0"/>
        <w:snapToGrid w:val="0"/>
        <w:spacing w:line="600" w:lineRule="exact"/>
        <w:ind w:firstLine="640"/>
        <w:rPr>
          <w:rFonts w:ascii="Times New Roman" w:hAnsi="Times New Roman" w:eastAsia="仿宋_GB2312"/>
          <w:sz w:val="32"/>
          <w:szCs w:val="32"/>
          <w:highlight w:val="none"/>
        </w:rPr>
      </w:pPr>
    </w:p>
    <w:p w14:paraId="3F0282AC">
      <w:pPr>
        <w:adjustRightInd w:val="0"/>
        <w:snapToGrid w:val="0"/>
        <w:spacing w:line="600" w:lineRule="exact"/>
        <w:ind w:firstLine="640"/>
        <w:rPr>
          <w:rFonts w:ascii="Times New Roman" w:hAnsi="Times New Roman" w:eastAsia="仿宋_GB2312"/>
          <w:sz w:val="32"/>
          <w:szCs w:val="32"/>
          <w:highlight w:val="none"/>
        </w:rPr>
      </w:pPr>
    </w:p>
    <w:p w14:paraId="04CD4288">
      <w:pPr>
        <w:adjustRightInd w:val="0"/>
        <w:snapToGrid w:val="0"/>
        <w:spacing w:line="600" w:lineRule="exact"/>
        <w:ind w:firstLine="640"/>
        <w:rPr>
          <w:rFonts w:ascii="Times New Roman" w:hAnsi="Times New Roman" w:eastAsia="仿宋_GB2312"/>
          <w:sz w:val="32"/>
          <w:szCs w:val="32"/>
          <w:highlight w:val="none"/>
        </w:rPr>
      </w:pPr>
    </w:p>
    <w:p w14:paraId="5ABAF268">
      <w:pPr>
        <w:adjustRightInd w:val="0"/>
        <w:snapToGrid w:val="0"/>
        <w:spacing w:line="600" w:lineRule="exact"/>
        <w:ind w:firstLine="640"/>
        <w:rPr>
          <w:rFonts w:ascii="Times New Roman" w:hAnsi="Times New Roman" w:eastAsia="仿宋_GB2312"/>
          <w:sz w:val="32"/>
          <w:szCs w:val="32"/>
          <w:highlight w:val="none"/>
        </w:rPr>
      </w:pPr>
    </w:p>
    <w:p w14:paraId="502F7C5C">
      <w:pPr>
        <w:adjustRightInd w:val="0"/>
        <w:snapToGrid w:val="0"/>
        <w:spacing w:line="600" w:lineRule="exact"/>
        <w:ind w:firstLine="640"/>
        <w:rPr>
          <w:rFonts w:ascii="Times New Roman" w:hAnsi="Times New Roman" w:eastAsia="仿宋_GB2312"/>
          <w:sz w:val="32"/>
          <w:szCs w:val="32"/>
          <w:highlight w:val="none"/>
        </w:rPr>
      </w:pPr>
    </w:p>
    <w:p w14:paraId="0333B003">
      <w:pPr>
        <w:adjustRightInd w:val="0"/>
        <w:snapToGrid w:val="0"/>
        <w:spacing w:line="600" w:lineRule="exact"/>
        <w:ind w:firstLine="640"/>
        <w:rPr>
          <w:rFonts w:ascii="Times New Roman" w:hAnsi="Times New Roman" w:eastAsia="仿宋_GB2312"/>
          <w:sz w:val="32"/>
          <w:szCs w:val="32"/>
          <w:highlight w:val="none"/>
        </w:rPr>
      </w:pPr>
    </w:p>
    <w:p w14:paraId="78A0FD7B">
      <w:pPr>
        <w:pStyle w:val="7"/>
        <w:spacing w:after="0" w:afterLines="0" w:line="600" w:lineRule="exact"/>
        <w:ind w:left="0" w:leftChars="0" w:firstLine="0"/>
        <w:jc w:val="center"/>
        <w:rPr>
          <w:rFonts w:hint="default" w:ascii="黑体" w:hAnsi="黑体" w:eastAsia="黑体" w:cs="黑体"/>
          <w:highlight w:val="none"/>
          <w:u w:val="none"/>
        </w:rPr>
      </w:pPr>
      <w:r>
        <w:rPr>
          <w:rFonts w:ascii="黑体" w:hAnsi="黑体" w:eastAsia="黑体" w:cs="黑体"/>
          <w:sz w:val="32"/>
          <w:szCs w:val="32"/>
          <w:highlight w:val="none"/>
        </w:rPr>
        <w:t>批复时间：</w:t>
      </w:r>
      <w:r>
        <w:rPr>
          <w:rFonts w:hint="eastAsia" w:ascii="黑体" w:hAnsi="黑体" w:eastAsia="黑体" w:cs="黑体"/>
          <w:sz w:val="32"/>
          <w:szCs w:val="32"/>
          <w:highlight w:val="none"/>
          <w:u w:val="none"/>
          <w:lang w:val="en-US" w:eastAsia="zh-CN"/>
        </w:rPr>
        <w:t>2026</w:t>
      </w:r>
      <w:bookmarkStart w:id="4" w:name="_GoBack"/>
      <w:bookmarkEnd w:id="4"/>
      <w:r>
        <w:rPr>
          <w:rFonts w:ascii="黑体" w:hAnsi="黑体" w:eastAsia="黑体" w:cs="黑体"/>
          <w:sz w:val="32"/>
          <w:szCs w:val="32"/>
          <w:highlight w:val="none"/>
          <w:u w:val="none"/>
        </w:rPr>
        <w:t xml:space="preserve"> 年</w:t>
      </w:r>
      <w:r>
        <w:rPr>
          <w:rFonts w:hint="eastAsia" w:ascii="黑体" w:hAnsi="黑体" w:eastAsia="黑体" w:cs="黑体"/>
          <w:sz w:val="32"/>
          <w:szCs w:val="32"/>
          <w:highlight w:val="none"/>
          <w:u w:val="none"/>
          <w:lang w:val="en-US" w:eastAsia="zh-CN"/>
        </w:rPr>
        <w:t>2</w:t>
      </w:r>
      <w:r>
        <w:rPr>
          <w:rFonts w:ascii="黑体" w:hAnsi="黑体" w:eastAsia="黑体" w:cs="黑体"/>
          <w:sz w:val="32"/>
          <w:szCs w:val="32"/>
          <w:highlight w:val="none"/>
          <w:u w:val="none"/>
        </w:rPr>
        <w:t xml:space="preserve">月 </w:t>
      </w:r>
      <w:r>
        <w:rPr>
          <w:rFonts w:hint="eastAsia" w:ascii="黑体" w:hAnsi="黑体" w:eastAsia="黑体" w:cs="黑体"/>
          <w:sz w:val="32"/>
          <w:szCs w:val="32"/>
          <w:highlight w:val="none"/>
          <w:u w:val="none"/>
          <w:lang w:val="en-US" w:eastAsia="zh-CN"/>
        </w:rPr>
        <w:t>14</w:t>
      </w:r>
      <w:r>
        <w:rPr>
          <w:rFonts w:ascii="黑体" w:hAnsi="黑体" w:eastAsia="黑体" w:cs="黑体"/>
          <w:sz w:val="32"/>
          <w:szCs w:val="32"/>
          <w:highlight w:val="none"/>
          <w:u w:val="none"/>
        </w:rPr>
        <w:t>日</w:t>
      </w:r>
    </w:p>
    <w:p w14:paraId="2EC018F4">
      <w:pPr>
        <w:pStyle w:val="7"/>
        <w:spacing w:after="0" w:afterLines="0" w:line="600" w:lineRule="exact"/>
        <w:ind w:left="0" w:leftChars="0" w:firstLine="0"/>
        <w:jc w:val="center"/>
        <w:rPr>
          <w:rFonts w:hint="default" w:ascii="黑体" w:hAnsi="黑体" w:eastAsia="黑体" w:cs="黑体"/>
          <w:highlight w:val="none"/>
          <w:u w:val="none"/>
        </w:rPr>
      </w:pPr>
      <w:r>
        <w:rPr>
          <w:rFonts w:ascii="黑体" w:hAnsi="黑体" w:eastAsia="黑体" w:cs="黑体"/>
          <w:sz w:val="32"/>
          <w:szCs w:val="32"/>
          <w:highlight w:val="none"/>
          <w:u w:val="none"/>
        </w:rPr>
        <w:t>公开时间：</w:t>
      </w:r>
      <w:r>
        <w:rPr>
          <w:rFonts w:hint="eastAsia" w:ascii="黑体" w:hAnsi="黑体" w:eastAsia="黑体" w:cs="黑体"/>
          <w:sz w:val="32"/>
          <w:szCs w:val="32"/>
          <w:highlight w:val="none"/>
          <w:u w:val="none"/>
          <w:lang w:val="en-US" w:eastAsia="zh-CN"/>
        </w:rPr>
        <w:t>2026</w:t>
      </w:r>
      <w:r>
        <w:rPr>
          <w:rFonts w:ascii="黑体" w:hAnsi="黑体" w:eastAsia="黑体" w:cs="黑体"/>
          <w:sz w:val="32"/>
          <w:szCs w:val="32"/>
          <w:highlight w:val="none"/>
          <w:u w:val="none"/>
        </w:rPr>
        <w:t xml:space="preserve"> 年 </w:t>
      </w:r>
      <w:r>
        <w:rPr>
          <w:rFonts w:hint="eastAsia" w:ascii="黑体" w:hAnsi="黑体" w:eastAsia="黑体" w:cs="黑体"/>
          <w:sz w:val="32"/>
          <w:szCs w:val="32"/>
          <w:highlight w:val="none"/>
          <w:u w:val="none"/>
          <w:lang w:val="en-US" w:eastAsia="zh-CN"/>
        </w:rPr>
        <w:t>3</w:t>
      </w:r>
      <w:r>
        <w:rPr>
          <w:rFonts w:ascii="黑体" w:hAnsi="黑体" w:eastAsia="黑体" w:cs="黑体"/>
          <w:sz w:val="32"/>
          <w:szCs w:val="32"/>
          <w:highlight w:val="none"/>
          <w:u w:val="none"/>
        </w:rPr>
        <w:t xml:space="preserve">月 </w:t>
      </w:r>
      <w:r>
        <w:rPr>
          <w:rFonts w:hint="eastAsia" w:ascii="黑体" w:hAnsi="黑体" w:eastAsia="黑体" w:cs="黑体"/>
          <w:sz w:val="32"/>
          <w:szCs w:val="32"/>
          <w:highlight w:val="none"/>
          <w:u w:val="none"/>
          <w:lang w:val="en-US" w:eastAsia="zh-CN"/>
        </w:rPr>
        <w:t>2</w:t>
      </w:r>
      <w:r>
        <w:rPr>
          <w:rFonts w:ascii="黑体" w:hAnsi="黑体" w:eastAsia="黑体" w:cs="黑体"/>
          <w:sz w:val="32"/>
          <w:szCs w:val="32"/>
          <w:highlight w:val="none"/>
          <w:u w:val="none"/>
        </w:rPr>
        <w:t>日</w:t>
      </w:r>
    </w:p>
    <w:p w14:paraId="0B9D9723">
      <w:pPr>
        <w:adjustRightInd w:val="0"/>
        <w:snapToGrid w:val="0"/>
        <w:spacing w:line="600" w:lineRule="exact"/>
        <w:ind w:firstLine="640"/>
        <w:rPr>
          <w:rFonts w:ascii="Times New Roman" w:hAnsi="Times New Roman" w:eastAsia="仿宋_GB2312"/>
          <w:sz w:val="32"/>
          <w:szCs w:val="32"/>
          <w:highlight w:val="none"/>
        </w:rPr>
      </w:pPr>
    </w:p>
    <w:p w14:paraId="2C6C84C5">
      <w:pPr>
        <w:pageBreakBefore/>
        <w:tabs>
          <w:tab w:val="left" w:pos="4533"/>
        </w:tabs>
        <w:adjustRightInd w:val="0"/>
        <w:snapToGrid w:val="0"/>
        <w:spacing w:line="600" w:lineRule="exact"/>
        <w:jc w:val="center"/>
        <w:rPr>
          <w:sz w:val="44"/>
          <w:szCs w:val="44"/>
          <w:highlight w:val="none"/>
        </w:rPr>
      </w:pPr>
      <w:r>
        <w:rPr>
          <w:sz w:val="44"/>
          <w:szCs w:val="44"/>
          <w:highlight w:val="none"/>
        </w:rPr>
        <w:t>目</w:t>
      </w:r>
      <w:r>
        <w:rPr>
          <w:rFonts w:hint="eastAsia" w:eastAsia="宋体"/>
          <w:sz w:val="44"/>
          <w:szCs w:val="44"/>
          <w:highlight w:val="none"/>
        </w:rPr>
        <w:t xml:space="preserve">  </w:t>
      </w:r>
      <w:r>
        <w:rPr>
          <w:rFonts w:hint="eastAsia"/>
          <w:sz w:val="44"/>
          <w:szCs w:val="44"/>
          <w:highlight w:val="none"/>
        </w:rPr>
        <w:t xml:space="preserve">  </w:t>
      </w:r>
      <w:r>
        <w:rPr>
          <w:sz w:val="44"/>
          <w:szCs w:val="44"/>
          <w:highlight w:val="none"/>
        </w:rPr>
        <w:t>录</w:t>
      </w:r>
    </w:p>
    <w:p w14:paraId="4D1AF4A5">
      <w:pPr>
        <w:rPr>
          <w:highlight w:val="none"/>
        </w:rPr>
      </w:pPr>
    </w:p>
    <w:p w14:paraId="15C0A90B">
      <w:pPr>
        <w:pStyle w:val="4"/>
        <w:spacing w:after="0" w:afterLines="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第一部分 部门（单位）概况</w:t>
      </w:r>
    </w:p>
    <w:p w14:paraId="730702C9">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一、主要职能、职责</w:t>
      </w:r>
    </w:p>
    <w:p w14:paraId="78CCC45F">
      <w:pPr>
        <w:pStyle w:val="4"/>
        <w:spacing w:after="0" w:afterLines="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二、鄂尔多斯市120医疗救援指挥中心机构设置及预算单位构成情况</w:t>
      </w:r>
    </w:p>
    <w:p w14:paraId="4D29B418">
      <w:pPr>
        <w:pStyle w:val="4"/>
        <w:spacing w:after="0" w:afterLines="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三、202</w:t>
      </w:r>
      <w:r>
        <w:rPr>
          <w:rFonts w:hint="eastAsia" w:eastAsia="仿宋_GB2312" w:cs="仿宋"/>
          <w:sz w:val="32"/>
          <w:szCs w:val="32"/>
          <w:highlight w:val="none"/>
          <w:lang w:val="en-US" w:eastAsia="zh-CN"/>
        </w:rPr>
        <w:t>6</w:t>
      </w:r>
      <w:r>
        <w:rPr>
          <w:rFonts w:hint="eastAsia" w:ascii="Times New Roman" w:hAnsi="Times New Roman" w:eastAsia="仿宋_GB2312" w:cs="仿宋"/>
          <w:sz w:val="32"/>
          <w:szCs w:val="32"/>
          <w:highlight w:val="none"/>
        </w:rPr>
        <w:t>年度鄂尔多斯市120医疗救援指挥中心主要工作任务及目标</w:t>
      </w:r>
    </w:p>
    <w:p w14:paraId="2A64431D">
      <w:pPr>
        <w:pStyle w:val="4"/>
        <w:spacing w:after="0" w:afterLines="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第二部分 202</w:t>
      </w:r>
      <w:r>
        <w:rPr>
          <w:rFonts w:hint="eastAsia" w:eastAsia="仿宋_GB2312" w:cs="仿宋"/>
          <w:sz w:val="32"/>
          <w:szCs w:val="32"/>
          <w:highlight w:val="none"/>
          <w:lang w:val="en-US" w:eastAsia="zh-CN"/>
        </w:rPr>
        <w:t>6</w:t>
      </w:r>
      <w:r>
        <w:rPr>
          <w:rFonts w:hint="eastAsia" w:ascii="Times New Roman" w:hAnsi="Times New Roman" w:eastAsia="仿宋_GB2312" w:cs="仿宋"/>
          <w:sz w:val="32"/>
          <w:szCs w:val="32"/>
          <w:highlight w:val="none"/>
        </w:rPr>
        <w:t>年度鄂尔多斯市120医疗救援指挥中心预算情况说明</w:t>
      </w:r>
    </w:p>
    <w:p w14:paraId="60314D7A">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一、收支预算总体情况说明</w:t>
      </w:r>
    </w:p>
    <w:p w14:paraId="3A706AF4">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二、收入预算情况说明</w:t>
      </w:r>
    </w:p>
    <w:p w14:paraId="40676018">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三、支出预算情况说明</w:t>
      </w:r>
    </w:p>
    <w:p w14:paraId="0444C6AB">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四、财政拨款收支预算总体情况说明</w:t>
      </w:r>
    </w:p>
    <w:p w14:paraId="55B1209E">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五、一般公共预算支出预算情况说明</w:t>
      </w:r>
    </w:p>
    <w:p w14:paraId="6FADF32A">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六、一般公共预算基本支出预算情况说明</w:t>
      </w:r>
    </w:p>
    <w:p w14:paraId="12CC40C5">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七、一般公共预算“三公”经费支出预算情况说明</w:t>
      </w:r>
    </w:p>
    <w:p w14:paraId="34502112">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八、政府性基金预算支出预算情况说明</w:t>
      </w:r>
    </w:p>
    <w:p w14:paraId="3E6BDE90">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九、国有资本经营预算支出预算情况说明</w:t>
      </w:r>
    </w:p>
    <w:p w14:paraId="1DFF53B5">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十、项目支出预算情况说明</w:t>
      </w:r>
    </w:p>
    <w:p w14:paraId="487FA937">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w:t>
      </w:r>
      <w:r>
        <w:rPr>
          <w:rFonts w:hint="eastAsia" w:ascii="Times New Roman" w:hAnsi="Times New Roman" w:eastAsia="仿宋_GB2312" w:cs="仿宋"/>
          <w:sz w:val="32"/>
          <w:szCs w:val="32"/>
          <w:highlight w:val="none"/>
          <w:lang w:val="en-US" w:eastAsia="zh-CN"/>
        </w:rPr>
        <w:t>机构</w:t>
      </w:r>
      <w:r>
        <w:rPr>
          <w:rFonts w:hint="eastAsia" w:ascii="Times New Roman" w:hAnsi="Times New Roman" w:eastAsia="仿宋_GB2312" w:cs="仿宋"/>
          <w:sz w:val="32"/>
          <w:szCs w:val="32"/>
          <w:highlight w:val="none"/>
        </w:rPr>
        <w:t>运行经费支出预算情况说明</w:t>
      </w:r>
    </w:p>
    <w:p w14:paraId="1B89B2F1">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十二、政府采购支出预算情况说明</w:t>
      </w:r>
    </w:p>
    <w:p w14:paraId="7C77FCA8">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十三、国有资产占用情况说明</w:t>
      </w:r>
    </w:p>
    <w:p w14:paraId="62A19244">
      <w:pPr>
        <w:widowControl/>
        <w:spacing w:line="600" w:lineRule="exact"/>
        <w:jc w:val="lef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 xml:space="preserve">十四、项目绩效目标情况说明 </w:t>
      </w:r>
    </w:p>
    <w:p w14:paraId="0B182C03">
      <w:pPr>
        <w:pStyle w:val="4"/>
        <w:spacing w:after="0" w:afterLines="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第三部分 名词解释</w:t>
      </w:r>
    </w:p>
    <w:p w14:paraId="1614B9A4">
      <w:pPr>
        <w:pStyle w:val="4"/>
        <w:spacing w:after="0" w:afterLines="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第四部分 预算公开联系方式及信息反馈渠道</w:t>
      </w:r>
    </w:p>
    <w:p w14:paraId="28CC2EDF">
      <w:pPr>
        <w:pStyle w:val="4"/>
        <w:spacing w:after="0" w:afterLines="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第五部分 202</w:t>
      </w: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年度鄂尔多斯市120医疗救援指挥中心预算表</w:t>
      </w:r>
    </w:p>
    <w:p w14:paraId="7174BC56">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一、收支总表</w:t>
      </w:r>
    </w:p>
    <w:p w14:paraId="01E67150">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二、收入总表</w:t>
      </w:r>
    </w:p>
    <w:p w14:paraId="2A6DC195">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三、支出总表</w:t>
      </w:r>
    </w:p>
    <w:p w14:paraId="240A686E">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四、财政拨款收支总表</w:t>
      </w:r>
    </w:p>
    <w:p w14:paraId="67AD4D8F">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五、一般公共预算支出表</w:t>
      </w:r>
    </w:p>
    <w:p w14:paraId="269BC4BD">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六、一般公共预算基本支出表</w:t>
      </w:r>
    </w:p>
    <w:p w14:paraId="34C561CD">
      <w:pPr>
        <w:pStyle w:val="4"/>
        <w:spacing w:after="0" w:afterLines="0" w:line="600" w:lineRule="exact"/>
        <w:rPr>
          <w:rFonts w:ascii="Times New Roman" w:hAnsi="Times New Roman" w:eastAsia="仿宋_GB2312" w:cs="仿宋"/>
          <w:spacing w:val="-16"/>
          <w:w w:val="95"/>
          <w:sz w:val="32"/>
          <w:szCs w:val="32"/>
          <w:highlight w:val="none"/>
        </w:rPr>
      </w:pPr>
      <w:r>
        <w:rPr>
          <w:rFonts w:hint="eastAsia" w:ascii="Times New Roman" w:hAnsi="Times New Roman" w:eastAsia="仿宋_GB2312" w:cs="仿宋"/>
          <w:spacing w:val="-17"/>
          <w:w w:val="95"/>
          <w:sz w:val="32"/>
          <w:szCs w:val="32"/>
          <w:highlight w:val="none"/>
        </w:rPr>
        <w:t>七、一般公共预算</w:t>
      </w:r>
      <w:r>
        <w:rPr>
          <w:rFonts w:hint="eastAsia" w:ascii="Times New Roman" w:hAnsi="Times New Roman" w:eastAsia="仿宋_GB2312" w:cs="仿宋"/>
          <w:spacing w:val="-8"/>
          <w:w w:val="95"/>
          <w:sz w:val="32"/>
          <w:szCs w:val="32"/>
          <w:highlight w:val="none"/>
        </w:rPr>
        <w:t>“</w:t>
      </w:r>
      <w:r>
        <w:rPr>
          <w:rFonts w:hint="eastAsia" w:ascii="Times New Roman" w:hAnsi="Times New Roman" w:eastAsia="仿宋_GB2312" w:cs="仿宋"/>
          <w:spacing w:val="-15"/>
          <w:w w:val="95"/>
          <w:sz w:val="32"/>
          <w:szCs w:val="32"/>
          <w:highlight w:val="none"/>
        </w:rPr>
        <w:t>三公</w:t>
      </w:r>
      <w:r>
        <w:rPr>
          <w:rFonts w:hint="eastAsia" w:ascii="Times New Roman" w:hAnsi="Times New Roman" w:eastAsia="仿宋_GB2312" w:cs="仿宋"/>
          <w:spacing w:val="-10"/>
          <w:w w:val="95"/>
          <w:sz w:val="32"/>
          <w:szCs w:val="32"/>
          <w:highlight w:val="none"/>
        </w:rPr>
        <w:t>”</w:t>
      </w:r>
      <w:r>
        <w:rPr>
          <w:rFonts w:hint="eastAsia" w:ascii="Times New Roman" w:hAnsi="Times New Roman" w:eastAsia="仿宋_GB2312" w:cs="仿宋"/>
          <w:spacing w:val="-16"/>
          <w:w w:val="95"/>
          <w:sz w:val="32"/>
          <w:szCs w:val="32"/>
          <w:highlight w:val="none"/>
        </w:rPr>
        <w:t>经费支出表</w:t>
      </w:r>
    </w:p>
    <w:p w14:paraId="554D0932">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pacing w:val="-16"/>
          <w:w w:val="95"/>
          <w:sz w:val="32"/>
          <w:szCs w:val="32"/>
          <w:highlight w:val="none"/>
        </w:rPr>
        <w:t>八、政府性基金预算支出表</w:t>
      </w:r>
    </w:p>
    <w:p w14:paraId="54F36D04">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九、国有资本经营预算支出表</w:t>
      </w:r>
    </w:p>
    <w:p w14:paraId="428D4EA0">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十、项目支出表</w:t>
      </w:r>
    </w:p>
    <w:p w14:paraId="30744CDA">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十一、项目绩效目标表</w:t>
      </w:r>
    </w:p>
    <w:p w14:paraId="68AE5C0B">
      <w:pPr>
        <w:pStyle w:val="4"/>
        <w:spacing w:after="0" w:afterLines="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十二、政府采购预算表</w:t>
      </w:r>
    </w:p>
    <w:p w14:paraId="500C4231">
      <w:pPr>
        <w:spacing w:line="600" w:lineRule="exact"/>
        <w:rPr>
          <w:rFonts w:eastAsia="仿宋_GB2312" w:cs="Times New Roman"/>
          <w:sz w:val="32"/>
          <w:szCs w:val="32"/>
          <w:highlight w:val="none"/>
        </w:rPr>
      </w:pPr>
    </w:p>
    <w:p w14:paraId="037B4068">
      <w:pPr>
        <w:pStyle w:val="7"/>
        <w:rPr>
          <w:rFonts w:hint="default"/>
          <w:highlight w:val="none"/>
        </w:rPr>
      </w:pPr>
    </w:p>
    <w:p w14:paraId="059A9FFF">
      <w:pPr>
        <w:pStyle w:val="7"/>
        <w:rPr>
          <w:rFonts w:hint="default"/>
          <w:highlight w:val="none"/>
        </w:rPr>
        <w:sectPr>
          <w:headerReference r:id="rId3" w:type="default"/>
          <w:footerReference r:id="rId4" w:type="default"/>
          <w:pgSz w:w="11910" w:h="16840"/>
          <w:pgMar w:top="1582" w:right="1680" w:bottom="278" w:left="1640" w:header="720" w:footer="720" w:gutter="0"/>
          <w:pgNumType w:fmt="numberInDash"/>
          <w:cols w:space="720" w:num="1"/>
        </w:sectPr>
      </w:pPr>
    </w:p>
    <w:p w14:paraId="059A2336">
      <w:pPr>
        <w:pStyle w:val="2"/>
        <w:tabs>
          <w:tab w:val="left" w:pos="4392"/>
        </w:tabs>
        <w:adjustRightInd/>
        <w:snapToGrid/>
        <w:spacing w:before="0" w:beforeLines="0" w:after="0" w:afterLines="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0" w:name="_Toc30742"/>
      <w:r>
        <w:rPr>
          <w:rFonts w:hint="eastAsia" w:ascii="方正小标宋简体" w:hAnsi="方正小标宋简体" w:eastAsia="方正小标宋简体" w:cs="方正小标宋简体"/>
          <w:b w:val="0"/>
          <w:bCs w:val="0"/>
          <w:sz w:val="36"/>
          <w:szCs w:val="36"/>
          <w:highlight w:val="none"/>
        </w:rPr>
        <w:t>第一部分  单位概况</w:t>
      </w:r>
      <w:bookmarkEnd w:id="0"/>
    </w:p>
    <w:p w14:paraId="7560CFCC">
      <w:pPr>
        <w:spacing w:line="600" w:lineRule="exact"/>
        <w:rPr>
          <w:rFonts w:ascii="方正小标宋简体" w:hAnsi="方正小标宋简体" w:eastAsia="方正小标宋简体" w:cs="方正小标宋简体"/>
          <w:sz w:val="36"/>
          <w:szCs w:val="36"/>
          <w:highlight w:val="none"/>
        </w:rPr>
      </w:pPr>
    </w:p>
    <w:p w14:paraId="54994818">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主要职能职责</w:t>
      </w:r>
    </w:p>
    <w:p w14:paraId="641DE272">
      <w:pPr>
        <w:pStyle w:val="4"/>
        <w:spacing w:before="197" w:line="186" w:lineRule="auto"/>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1、鄂尔多斯120医疗救援指挥中心承担本市日常院前急救、自然灾害事故和突发性公共卫生事件发生时的医疗 救援指挥调度工作。</w:t>
      </w:r>
    </w:p>
    <w:p w14:paraId="52608A2D">
      <w:pPr>
        <w:pStyle w:val="4"/>
        <w:spacing w:before="2" w:line="248" w:lineRule="auto"/>
        <w:ind w:right="88" w:firstLine="649"/>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2、鄂尔多斯市120医疗救援指挥中心利用120急救网络平台， 实现院前急救资源的统一调度指挥。提高院前现场救治、合理分流伤病员及急危重症病员途中监护和救治的能力，使院前急救工作更加科学化、规范化、标准化。</w:t>
      </w:r>
    </w:p>
    <w:p w14:paraId="61E27CA8">
      <w:pPr>
        <w:pStyle w:val="4"/>
        <w:spacing w:before="192" w:line="256" w:lineRule="auto"/>
        <w:ind w:firstLine="644"/>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3、在紧急状况下，根据突发性公共卫生事件的级别，按照属  地管理，“就近、就急、就专业、就兼顾患者意愿”的原则，统一指挥、统一调派、统一协调辖区内纳入120 院前急救网络体系的不同隶属关系的急救站点，并与公安（110）、交通（122）、消防（119） 多部门建立应急联动机制，组织实施突发性公共卫生事件的紧急医疗救援。</w:t>
      </w:r>
    </w:p>
    <w:p w14:paraId="7053ED82">
      <w:pPr>
        <w:pStyle w:val="4"/>
        <w:spacing w:before="200" w:line="185" w:lineRule="auto"/>
        <w:ind w:firstLine="640" w:firstLineChars="200"/>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4、准确掌握本市急救资源状况，与二级以上综合医院实现急救资源信息联网，建立畅通的伤病员救治绿色通 道。</w:t>
      </w:r>
    </w:p>
    <w:p w14:paraId="302C61FB">
      <w:pPr>
        <w:pStyle w:val="4"/>
        <w:spacing w:before="15" w:line="226" w:lineRule="auto"/>
        <w:ind w:left="8" w:right="89" w:firstLine="635"/>
        <w:rPr>
          <w:rFonts w:hint="eastAsia" w:ascii="仿宋" w:hAnsi="仿宋" w:eastAsia="仿宋" w:cs="仿宋"/>
          <w:snapToGrid/>
          <w:kern w:val="2"/>
          <w:sz w:val="32"/>
          <w:szCs w:val="32"/>
          <w:lang w:val="en-US" w:eastAsia="zh-CN" w:bidi="ar-SA"/>
        </w:rPr>
      </w:pPr>
      <w:r>
        <w:rPr>
          <w:rFonts w:hint="eastAsia" w:ascii="仿宋" w:hAnsi="仿宋" w:eastAsia="仿宋" w:cs="仿宋"/>
          <w:snapToGrid/>
          <w:kern w:val="2"/>
          <w:sz w:val="32"/>
          <w:szCs w:val="32"/>
          <w:lang w:val="en-US" w:eastAsia="zh-CN" w:bidi="ar-SA"/>
        </w:rPr>
        <w:t>5、参与本市院前紧急医疗救援网络建设规划的制定，对院前 紧急医疗救援网络成员单位进行业务指导。</w:t>
      </w:r>
    </w:p>
    <w:p w14:paraId="1E387D92">
      <w:pPr>
        <w:numPr>
          <w:ilvl w:val="0"/>
          <w:numId w:val="0"/>
        </w:numPr>
        <w:spacing w:line="600" w:lineRule="exact"/>
        <w:ind w:firstLine="640" w:firstLineChars="200"/>
        <w:outlineLvl w:val="2"/>
        <w:rPr>
          <w:rFonts w:eastAsia="黑体" w:cs="黑体"/>
          <w:sz w:val="32"/>
          <w:szCs w:val="36"/>
          <w:highlight w:val="none"/>
        </w:rPr>
      </w:pPr>
      <w:r>
        <w:rPr>
          <w:rFonts w:hint="eastAsia" w:ascii="仿宋" w:hAnsi="仿宋" w:eastAsia="仿宋" w:cs="仿宋"/>
          <w:snapToGrid/>
          <w:kern w:val="2"/>
          <w:sz w:val="32"/>
          <w:szCs w:val="32"/>
          <w:lang w:val="en-US" w:eastAsia="zh-CN" w:bidi="ar-SA"/>
        </w:rPr>
        <w:t>6、负责本市院前急救警情分类及预案处置的分析和统计工作，并向上级行政部门报告。</w:t>
      </w:r>
    </w:p>
    <w:p w14:paraId="3E0890E7">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部门（单位）机构设置及预算单位构成情况</w:t>
      </w:r>
    </w:p>
    <w:p w14:paraId="0A1EE0A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snapToGrid/>
          <w:kern w:val="2"/>
          <w:sz w:val="32"/>
          <w:szCs w:val="32"/>
          <w:lang w:val="en-US" w:eastAsia="zh-CN"/>
        </w:rPr>
      </w:pPr>
      <w:r>
        <w:rPr>
          <w:rFonts w:hint="default" w:ascii="Times New Roman Regular" w:hAnsi="Times New Roman Regular" w:eastAsia="仿宋" w:cs="Times New Roman Regular"/>
          <w:snapToGrid/>
          <w:kern w:val="2"/>
          <w:sz w:val="32"/>
          <w:szCs w:val="32"/>
          <w:lang w:val="en-US" w:eastAsia="zh-CN"/>
        </w:rPr>
        <w:t>1．鄂尔多斯市120医疗救援指挥中心承担全市医疗指挥调度服务工作，督导急救站（点）的急救工作，开展急救知识宣传、培训，建立健全全市医疗救援网络管理等工作。中心统一全市“120”特服号，建立起“120”通讯指挥调度系统，通过对急救网络的统一管理，急救资源的统一调度，实现报警信息的统一受理、统一指挥、统一组织和统一协调，有效的提升了我市常态院前急救工作的需求及应对各种自然灾害和突发性公共卫生事件的快速反应能力，为全市人民群众 提供安全、高效的医疗救援服务。</w:t>
      </w:r>
    </w:p>
    <w:p w14:paraId="7545C05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snapToGrid/>
          <w:kern w:val="2"/>
          <w:sz w:val="32"/>
          <w:szCs w:val="32"/>
          <w:lang w:val="en-US" w:eastAsia="zh-CN"/>
        </w:rPr>
      </w:pPr>
      <w:r>
        <w:rPr>
          <w:rFonts w:hint="default" w:ascii="Times New Roman Regular" w:hAnsi="Times New Roman Regular" w:eastAsia="仿宋" w:cs="Times New Roman Regular"/>
          <w:snapToGrid/>
          <w:kern w:val="2"/>
          <w:sz w:val="32"/>
          <w:szCs w:val="32"/>
          <w:lang w:val="en-US" w:eastAsia="zh-CN"/>
        </w:rPr>
        <w:t>鄂尔多斯市120医疗救援指挥中心2005年经鄂尔多斯市人民政府批准成立,2006年组建，2007年7月28日试行，是我市唯一的一所独立的120急救指挥专业机构，隶属于鄂尔多斯市卫生健康委，全额事业单位，公益一类，科级建制，一正二副，核定编制23人。内设6个科室：办公室、调度科、急救科、网络科、综合科、培训科 。202</w:t>
      </w:r>
      <w:r>
        <w:rPr>
          <w:rFonts w:hint="eastAsia" w:ascii="Times New Roman Regular" w:hAnsi="Times New Roman Regular" w:eastAsia="仿宋" w:cs="Times New Roman Regular"/>
          <w:snapToGrid/>
          <w:kern w:val="2"/>
          <w:sz w:val="32"/>
          <w:szCs w:val="32"/>
          <w:lang w:val="en-US" w:eastAsia="zh-CN"/>
        </w:rPr>
        <w:t>5</w:t>
      </w:r>
      <w:r>
        <w:rPr>
          <w:rFonts w:hint="default" w:ascii="Times New Roman Regular" w:hAnsi="Times New Roman Regular" w:eastAsia="仿宋" w:cs="Times New Roman Regular"/>
          <w:snapToGrid/>
          <w:kern w:val="2"/>
          <w:sz w:val="32"/>
          <w:szCs w:val="32"/>
          <w:lang w:val="en-US" w:eastAsia="zh-CN"/>
        </w:rPr>
        <w:t>年鄂尔多</w:t>
      </w:r>
      <w:r>
        <w:rPr>
          <w:rFonts w:hint="eastAsia" w:ascii="Times New Roman Regular" w:hAnsi="Times New Roman Regular" w:eastAsia="仿宋" w:cs="Times New Roman Regular"/>
          <w:snapToGrid/>
          <w:kern w:val="2"/>
          <w:sz w:val="32"/>
          <w:szCs w:val="32"/>
          <w:lang w:val="en-US" w:eastAsia="zh-CN"/>
        </w:rPr>
        <w:t>斯市</w:t>
      </w:r>
      <w:r>
        <w:rPr>
          <w:rFonts w:hint="default" w:ascii="Times New Roman Regular" w:hAnsi="Times New Roman Regular" w:eastAsia="仿宋" w:cs="Times New Roman Regular"/>
          <w:snapToGrid/>
          <w:kern w:val="2"/>
          <w:sz w:val="32"/>
          <w:szCs w:val="32"/>
          <w:lang w:val="en-US" w:eastAsia="zh-CN"/>
        </w:rPr>
        <w:t>卫生健康委员会所属鄂尔多斯市120 医疗救援指挥中心共有事业机构数1家，其中财政拨款的事业单位1 家。与去年相比，机构数量无变化，鄂尔多斯市120医疗救援指挥中心无下属单位。</w:t>
      </w:r>
    </w:p>
    <w:p w14:paraId="4ADFCA6B">
      <w:pPr>
        <w:spacing w:line="600" w:lineRule="exact"/>
        <w:ind w:firstLine="640" w:firstLineChars="200"/>
        <w:rPr>
          <w:rFonts w:ascii="仿宋_GB2312" w:hAnsi="仿宋_GB2312" w:eastAsia="仿宋_GB2312" w:cs="仿宋_GB2312"/>
          <w:b/>
          <w:bCs/>
          <w:sz w:val="32"/>
          <w:szCs w:val="32"/>
          <w:highlight w:val="none"/>
        </w:rPr>
      </w:pPr>
      <w:r>
        <w:rPr>
          <w:rFonts w:hint="default" w:ascii="Times New Roman Regular" w:hAnsi="Times New Roman Regular" w:eastAsia="仿宋" w:cs="Times New Roman Regular"/>
          <w:snapToGrid/>
          <w:kern w:val="2"/>
          <w:sz w:val="32"/>
          <w:szCs w:val="32"/>
          <w:lang w:val="en-US" w:eastAsia="zh-CN"/>
        </w:rPr>
        <w:t>2．从预算单位构成看，纳入鄂尔多斯市120医疗救援指挥中心202</w:t>
      </w:r>
      <w:r>
        <w:rPr>
          <w:rFonts w:hint="eastAsia" w:ascii="Times New Roman Regular" w:hAnsi="Times New Roman Regular" w:eastAsia="仿宋" w:cs="Times New Roman Regular"/>
          <w:snapToGrid/>
          <w:kern w:val="2"/>
          <w:sz w:val="32"/>
          <w:szCs w:val="32"/>
          <w:lang w:val="en-US" w:eastAsia="zh-CN"/>
        </w:rPr>
        <w:t>5</w:t>
      </w:r>
      <w:r>
        <w:rPr>
          <w:rFonts w:hint="default" w:ascii="Times New Roman Regular" w:hAnsi="Times New Roman Regular" w:eastAsia="仿宋" w:cs="Times New Roman Regular"/>
          <w:snapToGrid/>
          <w:kern w:val="2"/>
          <w:sz w:val="32"/>
          <w:szCs w:val="32"/>
          <w:lang w:val="en-US" w:eastAsia="zh-CN"/>
        </w:rPr>
        <w:t>年部门汇总预算编制范围的预算单位共计1家，具体包括：鄂尔多斯市120医疗救援指挥中心本级，本单位无下级预算单位。详细情况</w:t>
      </w:r>
      <w:r>
        <w:rPr>
          <w:rFonts w:hint="eastAsia" w:ascii="Times New Roman Regular" w:hAnsi="Times New Roman Regular" w:eastAsia="仿宋" w:cs="Times New Roman Regular"/>
          <w:snapToGrid/>
          <w:kern w:val="2"/>
          <w:sz w:val="32"/>
          <w:szCs w:val="32"/>
          <w:lang w:val="en-US" w:eastAsia="zh-CN"/>
        </w:rPr>
        <w:t>见下</w:t>
      </w:r>
      <w:r>
        <w:rPr>
          <w:rFonts w:hint="default" w:ascii="Times New Roman Regular" w:hAnsi="Times New Roman Regular" w:eastAsia="仿宋" w:cs="Times New Roman Regular"/>
          <w:snapToGrid/>
          <w:kern w:val="2"/>
          <w:sz w:val="32"/>
          <w:szCs w:val="32"/>
          <w:lang w:val="en-US" w:eastAsia="zh-CN"/>
        </w:rPr>
        <w:t>表：</w:t>
      </w:r>
    </w:p>
    <w:tbl>
      <w:tblPr>
        <w:tblStyle w:val="11"/>
        <w:tblW w:w="8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6"/>
        <w:gridCol w:w="3115"/>
        <w:gridCol w:w="4598"/>
      </w:tblGrid>
      <w:tr w14:paraId="2A2BE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806" w:type="dxa"/>
            <w:noWrap w:val="0"/>
            <w:textDirection w:val="tbRlV"/>
            <w:vAlign w:val="top"/>
          </w:tcPr>
          <w:p w14:paraId="0E02CCC4">
            <w:pPr>
              <w:pStyle w:val="10"/>
              <w:spacing w:before="175" w:line="181" w:lineRule="auto"/>
              <w:ind w:left="54"/>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序 号</w:t>
            </w:r>
          </w:p>
        </w:tc>
        <w:tc>
          <w:tcPr>
            <w:tcW w:w="3115" w:type="dxa"/>
            <w:noWrap w:val="0"/>
            <w:vAlign w:val="top"/>
          </w:tcPr>
          <w:p w14:paraId="510883B5">
            <w:pPr>
              <w:pStyle w:val="10"/>
              <w:spacing w:before="254" w:line="181" w:lineRule="auto"/>
              <w:ind w:left="1019"/>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单位名称</w:t>
            </w:r>
          </w:p>
        </w:tc>
        <w:tc>
          <w:tcPr>
            <w:tcW w:w="4598" w:type="dxa"/>
            <w:noWrap w:val="0"/>
            <w:vAlign w:val="top"/>
          </w:tcPr>
          <w:p w14:paraId="196A891C">
            <w:pPr>
              <w:pStyle w:val="10"/>
              <w:spacing w:before="255" w:line="180" w:lineRule="auto"/>
              <w:ind w:left="1691"/>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单位性质</w:t>
            </w:r>
          </w:p>
        </w:tc>
      </w:tr>
      <w:tr w14:paraId="69F0C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806" w:type="dxa"/>
            <w:noWrap w:val="0"/>
            <w:vAlign w:val="top"/>
          </w:tcPr>
          <w:p w14:paraId="0341B04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snapToGrid/>
                <w:kern w:val="2"/>
                <w:sz w:val="32"/>
                <w:szCs w:val="32"/>
                <w:lang w:val="en-US" w:eastAsia="zh-CN"/>
              </w:rPr>
            </w:pPr>
          </w:p>
          <w:p w14:paraId="1C77864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snapToGrid/>
                <w:kern w:val="2"/>
                <w:sz w:val="32"/>
                <w:szCs w:val="32"/>
                <w:lang w:val="en-US" w:eastAsia="zh-CN"/>
              </w:rPr>
            </w:pPr>
            <w:r>
              <w:rPr>
                <w:rFonts w:hint="default" w:ascii="Times New Roman Regular" w:hAnsi="Times New Roman Regular" w:eastAsia="仿宋" w:cs="Times New Roman Regular"/>
                <w:snapToGrid/>
                <w:kern w:val="2"/>
                <w:sz w:val="32"/>
                <w:szCs w:val="32"/>
                <w:lang w:val="en-US" w:eastAsia="zh-CN"/>
              </w:rPr>
              <w:t>1</w:t>
            </w:r>
          </w:p>
        </w:tc>
        <w:tc>
          <w:tcPr>
            <w:tcW w:w="3115" w:type="dxa"/>
            <w:noWrap w:val="0"/>
            <w:vAlign w:val="top"/>
          </w:tcPr>
          <w:p w14:paraId="27181F55">
            <w:pPr>
              <w:keepNext w:val="0"/>
              <w:keepLines w:val="0"/>
              <w:pageBreakBefore w:val="0"/>
              <w:widowControl w:val="0"/>
              <w:kinsoku/>
              <w:wordWrap/>
              <w:overflowPunct/>
              <w:topLinePunct/>
              <w:autoSpaceDE/>
              <w:autoSpaceDN/>
              <w:bidi w:val="0"/>
              <w:adjustRightInd/>
              <w:snapToGrid/>
              <w:spacing w:line="520" w:lineRule="exact"/>
              <w:ind w:right="0" w:rightChars="0"/>
              <w:jc w:val="both"/>
              <w:textAlignment w:val="auto"/>
              <w:outlineLvl w:val="1"/>
              <w:rPr>
                <w:rFonts w:hint="default" w:ascii="Times New Roman Regular" w:hAnsi="Times New Roman Regular" w:eastAsia="仿宋" w:cs="Times New Roman Regular"/>
                <w:snapToGrid/>
                <w:kern w:val="2"/>
                <w:sz w:val="32"/>
                <w:szCs w:val="32"/>
                <w:lang w:val="en-US" w:eastAsia="zh-CN"/>
              </w:rPr>
            </w:pPr>
            <w:r>
              <w:rPr>
                <w:rFonts w:hint="default" w:ascii="Times New Roman Regular" w:hAnsi="Times New Roman Regular" w:eastAsia="仿宋" w:cs="Times New Roman Regular"/>
                <w:snapToGrid/>
                <w:kern w:val="2"/>
                <w:sz w:val="32"/>
                <w:szCs w:val="32"/>
                <w:lang w:val="en-US" w:eastAsia="zh-CN"/>
              </w:rPr>
              <w:t>鄂尔多斯市 120 医疗救援指挥中心</w:t>
            </w:r>
          </w:p>
        </w:tc>
        <w:tc>
          <w:tcPr>
            <w:tcW w:w="4598" w:type="dxa"/>
            <w:noWrap w:val="0"/>
            <w:vAlign w:val="top"/>
          </w:tcPr>
          <w:p w14:paraId="6E0C3AD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snapToGrid/>
                <w:kern w:val="2"/>
                <w:sz w:val="32"/>
                <w:szCs w:val="32"/>
                <w:lang w:val="en-US" w:eastAsia="zh-CN"/>
              </w:rPr>
            </w:pPr>
            <w:r>
              <w:rPr>
                <w:rFonts w:hint="default" w:ascii="Times New Roman Regular" w:hAnsi="Times New Roman Regular" w:eastAsia="仿宋" w:cs="Times New Roman Regular"/>
                <w:snapToGrid/>
                <w:kern w:val="2"/>
                <w:sz w:val="32"/>
                <w:szCs w:val="32"/>
                <w:lang w:val="en-US" w:eastAsia="zh-CN"/>
              </w:rPr>
              <w:t>公益一类事业单位</w:t>
            </w:r>
          </w:p>
        </w:tc>
      </w:tr>
    </w:tbl>
    <w:p w14:paraId="26B6D7FE">
      <w:pPr>
        <w:numPr>
          <w:ilvl w:val="0"/>
          <w:numId w:val="1"/>
        </w:numPr>
        <w:spacing w:line="600" w:lineRule="exact"/>
        <w:ind w:left="17" w:leftChars="8" w:firstLine="624" w:firstLineChars="195"/>
        <w:outlineLvl w:val="2"/>
        <w:rPr>
          <w:rFonts w:eastAsia="黑体" w:cs="黑体"/>
          <w:sz w:val="32"/>
          <w:szCs w:val="36"/>
          <w:highlight w:val="none"/>
        </w:rPr>
      </w:pPr>
      <w:r>
        <w:rPr>
          <w:rFonts w:hint="default" w:eastAsia="黑体" w:cs="黑体"/>
          <w:sz w:val="32"/>
          <w:szCs w:val="36"/>
          <w:highlight w:val="none"/>
          <w:lang w:val="en-US" w:eastAsia="zh-CN"/>
        </w:rPr>
        <w:t>202</w:t>
      </w:r>
      <w:r>
        <w:rPr>
          <w:rFonts w:hint="eastAsia" w:eastAsia="黑体" w:cs="黑体"/>
          <w:sz w:val="32"/>
          <w:szCs w:val="36"/>
          <w:highlight w:val="none"/>
          <w:lang w:val="en-US" w:eastAsia="zh-CN"/>
        </w:rPr>
        <w:t>5</w:t>
      </w:r>
      <w:r>
        <w:rPr>
          <w:rFonts w:hint="default" w:eastAsia="黑体" w:cs="黑体"/>
          <w:sz w:val="32"/>
          <w:szCs w:val="36"/>
          <w:highlight w:val="none"/>
          <w:lang w:val="en-US" w:eastAsia="zh-CN"/>
        </w:rPr>
        <w:t xml:space="preserve"> 年度鄂尔多斯市 120 医疗救援指挥中心</w:t>
      </w:r>
      <w:r>
        <w:rPr>
          <w:rFonts w:hint="eastAsia" w:eastAsia="黑体" w:cs="黑体"/>
          <w:sz w:val="32"/>
          <w:szCs w:val="36"/>
          <w:highlight w:val="none"/>
        </w:rPr>
        <w:t>主要工作任务及目标</w:t>
      </w:r>
    </w:p>
    <w:p w14:paraId="2A4BE102">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eastAsia="黑体" w:cs="黑体"/>
          <w:sz w:val="32"/>
          <w:szCs w:val="36"/>
          <w:highlight w:val="none"/>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鄂尔多斯市120医疗救援指挥中心承担全市医疗指挥调度服务工作，202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年继续督导急救站（点）的急救工作，开展急救知识宣传、培训，建立健全全市医疗救援网络管理等工作。202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年工作目标：一是查找不足，砥砺前行。做到“敬畏 生命，以人为本”，无条件地保证院前急救高效运转；二是加强急救体系建设，对新入网单位严格管控，坚决守牢安全发展底线，密切关注寒潮大风、降温降雪等天气变化，切实做好防范 应对工作，确保节假日期间院前急救的安全运转；三是充分发 挥培训科室培训职责，要依据依据规定开展院前急救培训</w:t>
      </w:r>
      <w:r>
        <w:rPr>
          <w:rFonts w:hint="eastAsia" w:ascii="Times New Roman Regular" w:hAnsi="Times New Roman Regular" w:eastAsia="仿宋" w:cs="Times New Roman Regular"/>
          <w:snapToGrid/>
          <w:color w:val="000000"/>
          <w:kern w:val="2"/>
          <w:sz w:val="32"/>
          <w:szCs w:val="32"/>
          <w:lang w:val="en-US" w:eastAsia="zh-CN" w:bidi="ar-SA"/>
        </w:rPr>
        <w:t>，在</w:t>
      </w:r>
      <w:r>
        <w:rPr>
          <w:rFonts w:hint="default" w:ascii="Times New Roman Regular" w:hAnsi="Times New Roman Regular" w:eastAsia="仿宋" w:cs="Times New Roman Regular"/>
          <w:snapToGrid/>
          <w:color w:val="000000"/>
          <w:kern w:val="2"/>
          <w:sz w:val="32"/>
          <w:szCs w:val="32"/>
          <w:lang w:val="en-US" w:eastAsia="zh-CN" w:bidi="ar-SA"/>
        </w:rPr>
        <w:t>全面提升队伍应急处置能力的同时，壮大急救队伍；四是加大宣传力度，持续普及急救知</w:t>
      </w:r>
      <w:r>
        <w:rPr>
          <w:rFonts w:hint="eastAsia" w:ascii="Times New Roman Regular" w:hAnsi="Times New Roman Regular" w:eastAsia="仿宋" w:cs="Times New Roman Regular"/>
          <w:snapToGrid/>
          <w:color w:val="000000"/>
          <w:kern w:val="2"/>
          <w:sz w:val="32"/>
          <w:szCs w:val="32"/>
          <w:lang w:val="en-US" w:eastAsia="zh-CN" w:bidi="ar-SA"/>
        </w:rPr>
        <w:t>识和</w:t>
      </w:r>
      <w:r>
        <w:rPr>
          <w:rFonts w:hint="default" w:ascii="Times New Roman Regular" w:hAnsi="Times New Roman Regular" w:eastAsia="仿宋" w:cs="Times New Roman Regular"/>
          <w:snapToGrid/>
          <w:color w:val="000000"/>
          <w:kern w:val="2"/>
          <w:sz w:val="32"/>
          <w:szCs w:val="32"/>
          <w:lang w:val="en-US" w:eastAsia="zh-CN" w:bidi="ar-SA"/>
        </w:rPr>
        <w:t>技能，营造全民自救互救的浓厚氛围</w:t>
      </w:r>
      <w:r>
        <w:rPr>
          <w:rFonts w:hint="eastAsia" w:ascii="Times New Roman Regular" w:hAnsi="Times New Roman Regular" w:eastAsia="仿宋" w:cs="Times New Roman Regular"/>
          <w:snapToGrid/>
          <w:color w:val="000000"/>
          <w:kern w:val="2"/>
          <w:sz w:val="32"/>
          <w:szCs w:val="32"/>
          <w:lang w:val="en-US" w:eastAsia="zh-CN" w:bidi="ar-SA"/>
        </w:rPr>
        <w:t>，</w:t>
      </w:r>
      <w:r>
        <w:rPr>
          <w:rFonts w:hint="default" w:ascii="Times New Roman Regular" w:hAnsi="Times New Roman Regular" w:eastAsia="仿宋" w:cs="Times New Roman Regular"/>
          <w:snapToGrid/>
          <w:color w:val="000000"/>
          <w:kern w:val="2"/>
          <w:sz w:val="32"/>
          <w:szCs w:val="32"/>
          <w:lang w:val="en-US" w:eastAsia="zh-CN" w:bidi="ar-SA"/>
        </w:rPr>
        <w:t>为全市人民群众提供安全、高效的医疗救援服务。</w:t>
      </w:r>
    </w:p>
    <w:p w14:paraId="452F03DD">
      <w:pPr>
        <w:pStyle w:val="2"/>
        <w:tabs>
          <w:tab w:val="left" w:pos="4392"/>
        </w:tabs>
        <w:adjustRightInd/>
        <w:snapToGrid/>
        <w:spacing w:before="0" w:beforeLines="0" w:after="0" w:afterLines="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1" w:name="_Toc21288"/>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第二部分</w:t>
      </w:r>
      <w:r>
        <w:rPr>
          <w:rFonts w:ascii="微软雅黑" w:hAnsi="微软雅黑" w:eastAsia="微软雅黑" w:cs="微软雅黑"/>
          <w:spacing w:val="7"/>
          <w:sz w:val="35"/>
          <w:szCs w:val="35"/>
        </w:rPr>
        <w:t xml:space="preserve"> </w:t>
      </w:r>
      <w:r>
        <w:rPr>
          <w:rFonts w:hint="eastAsia" w:ascii="方正小标宋简体" w:hAnsi="方正小标宋简体" w:eastAsia="方正小标宋简体" w:cs="方正小标宋简体"/>
          <w:b w:val="0"/>
          <w:bCs w:val="0"/>
          <w:sz w:val="36"/>
          <w:szCs w:val="36"/>
          <w:highlight w:val="none"/>
        </w:rPr>
        <w:t>202</w:t>
      </w:r>
      <w:r>
        <w:rPr>
          <w:rFonts w:hint="eastAsia" w:ascii="方正小标宋简体" w:hAnsi="方正小标宋简体" w:eastAsia="方正小标宋简体" w:cs="方正小标宋简体"/>
          <w:b w:val="0"/>
          <w:bCs w:val="0"/>
          <w:sz w:val="36"/>
          <w:szCs w:val="36"/>
          <w:highlight w:val="none"/>
          <w:lang w:val="en-US" w:eastAsia="zh-CN"/>
        </w:rPr>
        <w:t>6</w:t>
      </w:r>
      <w:r>
        <w:rPr>
          <w:rFonts w:hint="eastAsia" w:ascii="方正小标宋简体" w:hAnsi="方正小标宋简体" w:eastAsia="方正小标宋简体" w:cs="方正小标宋简体"/>
          <w:b w:val="0"/>
          <w:bCs w:val="0"/>
          <w:sz w:val="36"/>
          <w:szCs w:val="36"/>
          <w:highlight w:val="none"/>
        </w:rPr>
        <w:t xml:space="preserve"> 年度鄂尔多斯市120医疗救援指挥中心预算情况说明</w:t>
      </w:r>
      <w:bookmarkEnd w:id="1"/>
    </w:p>
    <w:p w14:paraId="32717211">
      <w:pPr>
        <w:spacing w:line="600" w:lineRule="exact"/>
        <w:rPr>
          <w:rFonts w:ascii="方正小标宋简体" w:hAnsi="方正小标宋简体" w:eastAsia="方正小标宋简体" w:cs="方正小标宋简体"/>
          <w:sz w:val="36"/>
          <w:szCs w:val="36"/>
          <w:highlight w:val="none"/>
        </w:rPr>
      </w:pPr>
    </w:p>
    <w:p w14:paraId="4C1BE296">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一、收支预算总体情况说明</w:t>
      </w:r>
    </w:p>
    <w:p w14:paraId="4EE150D0">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年度收入、支出预总计</w:t>
      </w:r>
      <w:r>
        <w:rPr>
          <w:rFonts w:hint="eastAsia" w:ascii="Times New Roman Regular" w:hAnsi="Times New Roman Regular" w:eastAsia="仿宋" w:cs="Times New Roman Regular"/>
          <w:snapToGrid/>
          <w:color w:val="000000"/>
          <w:kern w:val="2"/>
          <w:sz w:val="32"/>
          <w:szCs w:val="32"/>
          <w:lang w:val="en-US" w:eastAsia="zh-CN" w:bidi="ar-SA"/>
        </w:rPr>
        <w:t>744.16</w:t>
      </w:r>
      <w:r>
        <w:rPr>
          <w:rFonts w:hint="default" w:ascii="Times New Roman Regular" w:hAnsi="Times New Roman Regular" w:eastAsia="仿宋" w:cs="Times New Roman Regular"/>
          <w:snapToGrid/>
          <w:color w:val="000000"/>
          <w:kern w:val="2"/>
          <w:sz w:val="32"/>
          <w:szCs w:val="32"/>
          <w:lang w:val="en-US" w:eastAsia="zh-CN" w:bidi="ar-SA"/>
        </w:rPr>
        <w:t>万元，与上年相比收、支预算总计各增加0万元。其中</w:t>
      </w:r>
    </w:p>
    <w:p w14:paraId="5FFFA3C6">
      <w:pPr>
        <w:pStyle w:val="4"/>
        <w:tabs>
          <w:tab w:val="left" w:pos="4275"/>
        </w:tabs>
        <w:spacing w:after="0" w:afterLines="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（一）收入预算总计</w:t>
      </w:r>
      <w:r>
        <w:rPr>
          <w:rFonts w:hint="eastAsia" w:ascii="Times New Roman Regular" w:hAnsi="Times New Roman Regular" w:eastAsia="仿宋" w:cs="Times New Roman Regular"/>
          <w:snapToGrid/>
          <w:color w:val="000000"/>
          <w:kern w:val="2"/>
          <w:sz w:val="32"/>
          <w:szCs w:val="32"/>
          <w:lang w:val="en-US" w:eastAsia="zh-CN" w:bidi="ar-SA"/>
        </w:rPr>
        <w:t>744.16</w:t>
      </w:r>
      <w:r>
        <w:rPr>
          <w:rFonts w:hint="eastAsia" w:ascii="楷体" w:hAnsi="楷体" w:eastAsia="楷体" w:cs="楷体"/>
          <w:b/>
          <w:bCs/>
          <w:sz w:val="32"/>
          <w:szCs w:val="32"/>
          <w:highlight w:val="none"/>
        </w:rPr>
        <w:t>万元。包括：</w:t>
      </w:r>
    </w:p>
    <w:p w14:paraId="6F8BE738">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1．本年收入</w:t>
      </w:r>
      <w:r>
        <w:rPr>
          <w:rFonts w:hint="eastAsia" w:ascii="Times New Roman Regular" w:hAnsi="Times New Roman Regular" w:eastAsia="仿宋" w:cs="Times New Roman Regular"/>
          <w:snapToGrid/>
          <w:color w:val="000000"/>
          <w:kern w:val="2"/>
          <w:sz w:val="32"/>
          <w:szCs w:val="32"/>
          <w:lang w:val="en-US" w:eastAsia="zh-CN" w:bidi="ar-SA"/>
        </w:rPr>
        <w:t>合计744.16</w:t>
      </w:r>
      <w:r>
        <w:rPr>
          <w:rFonts w:hint="default" w:ascii="Times New Roman Regular" w:hAnsi="Times New Roman Regular" w:eastAsia="仿宋" w:cs="Times New Roman Regular"/>
          <w:snapToGrid/>
          <w:color w:val="000000"/>
          <w:kern w:val="2"/>
          <w:sz w:val="32"/>
          <w:szCs w:val="32"/>
          <w:lang w:val="en-US" w:eastAsia="zh-CN" w:bidi="ar-SA"/>
        </w:rPr>
        <w:t>万元。</w:t>
      </w:r>
    </w:p>
    <w:p w14:paraId="2C1A7721">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sectPr>
          <w:footerReference r:id="rId5" w:type="default"/>
          <w:pgSz w:w="11900" w:h="16840"/>
          <w:pgMar w:top="1431" w:right="1561" w:bottom="1099" w:left="1126" w:header="0" w:footer="841" w:gutter="0"/>
          <w:cols w:space="720" w:num="1"/>
        </w:sectPr>
      </w:pPr>
    </w:p>
    <w:p w14:paraId="38CA5D60">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（1）一般公共预算拨款收入</w:t>
      </w:r>
      <w:r>
        <w:rPr>
          <w:rFonts w:hint="eastAsia" w:ascii="Times New Roman Regular" w:hAnsi="Times New Roman Regular" w:eastAsia="仿宋" w:cs="Times New Roman Regular"/>
          <w:snapToGrid/>
          <w:color w:val="000000"/>
          <w:kern w:val="2"/>
          <w:sz w:val="32"/>
          <w:szCs w:val="32"/>
          <w:lang w:val="en-US" w:eastAsia="zh-CN" w:bidi="ar-SA"/>
        </w:rPr>
        <w:t>814.54</w:t>
      </w:r>
      <w:r>
        <w:rPr>
          <w:rFonts w:hint="default" w:ascii="Times New Roman Regular" w:hAnsi="Times New Roman Regular" w:eastAsia="仿宋" w:cs="Times New Roman Regular"/>
          <w:snapToGrid/>
          <w:color w:val="000000"/>
          <w:kern w:val="2"/>
          <w:sz w:val="32"/>
          <w:szCs w:val="32"/>
          <w:lang w:val="en-US" w:eastAsia="zh-CN" w:bidi="ar-SA"/>
        </w:rPr>
        <w:t>万元 ，与上年相比</w:t>
      </w:r>
      <w:r>
        <w:rPr>
          <w:rFonts w:hint="eastAsia" w:ascii="Times New Roman Regular" w:hAnsi="Times New Roman Regular" w:eastAsia="仿宋" w:cs="Times New Roman Regular"/>
          <w:snapToGrid/>
          <w:color w:val="000000"/>
          <w:kern w:val="2"/>
          <w:sz w:val="32"/>
          <w:szCs w:val="32"/>
          <w:lang w:val="en-US" w:eastAsia="zh-CN" w:bidi="ar-SA"/>
        </w:rPr>
        <w:t>减少</w:t>
      </w:r>
      <w:r>
        <w:rPr>
          <w:rFonts w:hint="default" w:ascii="Times New Roman Regular" w:hAnsi="Times New Roman Regular" w:eastAsia="仿宋" w:cs="Times New Roman Regular"/>
          <w:snapToGrid/>
          <w:color w:val="000000"/>
          <w:kern w:val="2"/>
          <w:sz w:val="32"/>
          <w:szCs w:val="32"/>
          <w:lang w:val="en-US" w:eastAsia="zh-CN" w:bidi="ar-SA"/>
        </w:rPr>
        <w:t xml:space="preserve"> </w:t>
      </w:r>
      <w:r>
        <w:rPr>
          <w:rFonts w:hint="eastAsia" w:ascii="Times New Roman Regular" w:hAnsi="Times New Roman Regular" w:eastAsia="仿宋" w:cs="Times New Roman Regular"/>
          <w:snapToGrid/>
          <w:color w:val="000000"/>
          <w:kern w:val="2"/>
          <w:sz w:val="32"/>
          <w:szCs w:val="32"/>
          <w:lang w:val="en-US" w:eastAsia="zh-CN" w:bidi="ar-SA"/>
        </w:rPr>
        <w:t>70.38</w:t>
      </w:r>
      <w:r>
        <w:rPr>
          <w:rFonts w:hint="default" w:ascii="Times New Roman Regular" w:hAnsi="Times New Roman Regular" w:eastAsia="仿宋" w:cs="Times New Roman Regular"/>
          <w:snapToGrid/>
          <w:color w:val="000000"/>
          <w:kern w:val="2"/>
          <w:sz w:val="32"/>
          <w:szCs w:val="32"/>
          <w:lang w:val="en-US" w:eastAsia="zh-CN" w:bidi="ar-SA"/>
        </w:rPr>
        <w:t>万元。主要</w:t>
      </w:r>
      <w:r>
        <w:rPr>
          <w:rFonts w:hint="eastAsia" w:ascii="Times New Roman Regular" w:hAnsi="Times New Roman Regular" w:eastAsia="仿宋" w:cs="Times New Roman Regular"/>
          <w:snapToGrid/>
          <w:color w:val="000000"/>
          <w:kern w:val="2"/>
          <w:sz w:val="32"/>
          <w:szCs w:val="32"/>
          <w:lang w:val="en-US" w:eastAsia="zh-CN" w:bidi="ar-SA"/>
        </w:rPr>
        <w:t>原因是本年无一次性项目急救站建设经费</w:t>
      </w:r>
      <w:r>
        <w:rPr>
          <w:rFonts w:hint="default" w:ascii="Times New Roman Regular" w:hAnsi="Times New Roman Regular" w:eastAsia="仿宋" w:cs="Times New Roman Regular"/>
          <w:snapToGrid/>
          <w:color w:val="000000"/>
          <w:kern w:val="2"/>
          <w:sz w:val="32"/>
          <w:szCs w:val="32"/>
          <w:lang w:val="en-US" w:eastAsia="zh-CN" w:bidi="ar-SA"/>
        </w:rPr>
        <w:t>。</w:t>
      </w:r>
    </w:p>
    <w:p w14:paraId="14F37917">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（2）政府性基金预算拨款收入0万元，与上年相比增加（减少）0万元。主要是无此项业务。</w:t>
      </w:r>
    </w:p>
    <w:p w14:paraId="0D77E867">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（3）国有资本经营预算拨款收入0万元，与上年相比增加（减少）0万元。主要原因是无此项业务。</w:t>
      </w:r>
    </w:p>
    <w:p w14:paraId="582C7FA3">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（4）财政专户管理资金收入0万元，与上年相比增加（减少）0万元。主要原因是无此项业务。</w:t>
      </w:r>
    </w:p>
    <w:p w14:paraId="020AA1C9">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（5）事业收入0万元，与上年相比增加（减少）0万元。主要原因是无此项业务。</w:t>
      </w:r>
    </w:p>
    <w:p w14:paraId="0A9DEFBD">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（6）事业单位经营收入0万元，与上年相比增加（减少）0万元 。主要原因是无此项业务。</w:t>
      </w:r>
    </w:p>
    <w:p w14:paraId="2DDE5B4F">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（7）上级补助收入0万元，与上年相比增加（减少）0万元。主要原因是无此项业务。</w:t>
      </w:r>
    </w:p>
    <w:p w14:paraId="5391B155">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（8）附属单位上缴收入0万元，与上年相比增加（减少）0万元 。主要原因是无此项业务。</w:t>
      </w:r>
    </w:p>
    <w:p w14:paraId="2DE59D37">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eastAsia="仿宋_GB2312"/>
          <w:sz w:val="32"/>
          <w:szCs w:val="32"/>
          <w:highlight w:val="none"/>
        </w:rPr>
      </w:pPr>
      <w:r>
        <w:rPr>
          <w:rFonts w:hint="default" w:ascii="Times New Roman Regular" w:hAnsi="Times New Roman Regular" w:eastAsia="仿宋" w:cs="Times New Roman Regular"/>
          <w:snapToGrid/>
          <w:color w:val="000000"/>
          <w:kern w:val="2"/>
          <w:sz w:val="32"/>
          <w:szCs w:val="32"/>
          <w:lang w:val="en-US" w:eastAsia="zh-CN" w:bidi="ar-SA"/>
        </w:rPr>
        <w:t>（9）其他收入0万元，与上年相比增加（减少）0万元。主要原因是无此项业务。</w:t>
      </w:r>
    </w:p>
    <w:p w14:paraId="20EED7C2">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ascii="仿宋_GB2312" w:hAnsi="仿宋_GB2312" w:eastAsia="仿宋_GB2312"/>
          <w:color w:val="FF0000"/>
          <w:sz w:val="32"/>
          <w:szCs w:val="24"/>
          <w:highlight w:val="none"/>
        </w:rPr>
      </w:pPr>
      <w:r>
        <w:rPr>
          <w:rFonts w:hint="default" w:ascii="Times New Roman Regular" w:hAnsi="Times New Roman Regular" w:eastAsia="仿宋" w:cs="Times New Roman Regular"/>
          <w:snapToGrid/>
          <w:color w:val="000000"/>
          <w:kern w:val="2"/>
          <w:sz w:val="32"/>
          <w:szCs w:val="32"/>
          <w:lang w:val="en-US" w:eastAsia="zh-CN" w:bidi="ar-SA"/>
        </w:rPr>
        <w:t>2．上年结转结余0万元。与上年相比增加（减少）0万元。主要原因是不存在此项内容。</w:t>
      </w:r>
    </w:p>
    <w:p w14:paraId="0FE5CD04">
      <w:pPr>
        <w:pStyle w:val="4"/>
        <w:tabs>
          <w:tab w:val="left" w:pos="4275"/>
        </w:tabs>
        <w:spacing w:after="0" w:afterLines="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（二）支出预算总计</w:t>
      </w:r>
      <w:r>
        <w:rPr>
          <w:rFonts w:hint="eastAsia" w:ascii="Times New Roman Regular" w:hAnsi="Times New Roman Regular" w:eastAsia="仿宋" w:cs="Times New Roman Regular"/>
          <w:snapToGrid/>
          <w:color w:val="000000"/>
          <w:kern w:val="2"/>
          <w:sz w:val="32"/>
          <w:szCs w:val="32"/>
          <w:lang w:val="en-US" w:eastAsia="zh-CN" w:bidi="ar-SA"/>
        </w:rPr>
        <w:t>744.16</w:t>
      </w:r>
      <w:r>
        <w:rPr>
          <w:rFonts w:hint="eastAsia" w:ascii="楷体" w:hAnsi="楷体" w:eastAsia="楷体" w:cs="楷体"/>
          <w:b/>
          <w:bCs/>
          <w:sz w:val="32"/>
          <w:szCs w:val="32"/>
          <w:highlight w:val="none"/>
        </w:rPr>
        <w:t>万元。包括：</w:t>
      </w:r>
    </w:p>
    <w:p w14:paraId="12D34A4F">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1</w:t>
      </w:r>
      <w:r>
        <w:rPr>
          <w:rFonts w:hint="eastAsia" w:ascii="Times New Roman Regular" w:hAnsi="Times New Roman Regular" w:eastAsia="仿宋" w:cs="Times New Roman Regular"/>
          <w:snapToGrid/>
          <w:color w:val="000000"/>
          <w:kern w:val="2"/>
          <w:sz w:val="32"/>
          <w:szCs w:val="32"/>
          <w:lang w:val="en-US" w:eastAsia="zh-CN" w:bidi="ar-SA"/>
        </w:rPr>
        <w:t>.</w:t>
      </w:r>
      <w:r>
        <w:rPr>
          <w:rFonts w:hint="default" w:ascii="Times New Roman Regular" w:hAnsi="Times New Roman Regular" w:eastAsia="仿宋" w:cs="Times New Roman Regular"/>
          <w:snapToGrid/>
          <w:color w:val="000000"/>
          <w:kern w:val="2"/>
          <w:sz w:val="32"/>
          <w:szCs w:val="32"/>
          <w:lang w:val="en-US" w:eastAsia="zh-CN" w:bidi="ar-SA"/>
        </w:rPr>
        <w:t>本年支出合计</w:t>
      </w:r>
      <w:r>
        <w:rPr>
          <w:rFonts w:hint="eastAsia" w:ascii="Times New Roman Regular" w:hAnsi="Times New Roman Regular" w:eastAsia="仿宋" w:cs="Times New Roman Regular"/>
          <w:snapToGrid/>
          <w:color w:val="000000"/>
          <w:kern w:val="2"/>
          <w:sz w:val="32"/>
          <w:szCs w:val="32"/>
          <w:lang w:val="en-US" w:eastAsia="zh-CN" w:bidi="ar-SA"/>
        </w:rPr>
        <w:t>744.16</w:t>
      </w:r>
      <w:r>
        <w:rPr>
          <w:rFonts w:hint="default" w:ascii="Times New Roman Regular" w:hAnsi="Times New Roman Regular" w:eastAsia="仿宋" w:cs="Times New Roman Regular"/>
          <w:snapToGrid/>
          <w:color w:val="000000"/>
          <w:kern w:val="2"/>
          <w:sz w:val="32"/>
          <w:szCs w:val="32"/>
          <w:lang w:val="en-US" w:eastAsia="zh-CN" w:bidi="ar-SA"/>
        </w:rPr>
        <w:t>万元。</w:t>
      </w:r>
    </w:p>
    <w:p w14:paraId="6236E512">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（1） 一般公共服务（类）支出0万元，与上年相比增加</w:t>
      </w:r>
    </w:p>
    <w:p w14:paraId="1366A057">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sectPr>
          <w:footerReference r:id="rId6" w:type="default"/>
          <w:pgSz w:w="11900" w:h="16840"/>
          <w:pgMar w:top="1431" w:right="1539" w:bottom="1099" w:left="1254" w:header="0" w:footer="838" w:gutter="0"/>
          <w:cols w:space="720" w:num="1"/>
        </w:sectPr>
      </w:pPr>
    </w:p>
    <w:p w14:paraId="63CB4F7F">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（减少）0万元。主要原因是不存在此项内容。</w:t>
      </w:r>
    </w:p>
    <w:p w14:paraId="278DA496">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（2）公共安全（类）支出0万元。与上年相比增加（减少）0万元。主要原因是不存在此项内容。</w:t>
      </w:r>
    </w:p>
    <w:p w14:paraId="2340F66B">
      <w:pPr>
        <w:pStyle w:val="4"/>
        <w:tabs>
          <w:tab w:val="left" w:pos="4112"/>
        </w:tabs>
        <w:spacing w:after="0" w:afterLines="0" w:line="600" w:lineRule="exact"/>
        <w:ind w:firstLine="640" w:firstLineChars="200"/>
        <w:rPr>
          <w:rFonts w:eastAsia="仿宋_GB2312"/>
          <w:sz w:val="32"/>
          <w:szCs w:val="32"/>
          <w:highlight w:val="none"/>
        </w:rPr>
      </w:pPr>
      <w:r>
        <w:rPr>
          <w:rFonts w:hint="default" w:ascii="Times New Roman Regular" w:hAnsi="Times New Roman Regular" w:eastAsia="仿宋" w:cs="Times New Roman Regular"/>
          <w:snapToGrid/>
          <w:color w:val="000000"/>
          <w:kern w:val="2"/>
          <w:sz w:val="32"/>
          <w:szCs w:val="32"/>
          <w:lang w:val="en-US" w:eastAsia="zh-CN" w:bidi="ar-SA"/>
        </w:rPr>
        <w:t>2．年终结转结余0万元，主要原因是不存在此项内容。</w:t>
      </w:r>
    </w:p>
    <w:p w14:paraId="175CFDF8">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二、收入预算情况说明</w:t>
      </w:r>
    </w:p>
    <w:p w14:paraId="4622B361">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 xml:space="preserve">年度收入预算总计  </w:t>
      </w:r>
      <w:r>
        <w:rPr>
          <w:rFonts w:hint="eastAsia" w:ascii="Times New Roman Regular" w:hAnsi="Times New Roman Regular" w:eastAsia="仿宋" w:cs="Times New Roman Regular"/>
          <w:snapToGrid/>
          <w:color w:val="000000"/>
          <w:kern w:val="2"/>
          <w:sz w:val="32"/>
          <w:szCs w:val="32"/>
          <w:lang w:val="en-US" w:eastAsia="zh-CN" w:bidi="ar-SA"/>
        </w:rPr>
        <w:t>744.16</w:t>
      </w:r>
      <w:r>
        <w:rPr>
          <w:rFonts w:hint="default" w:ascii="Times New Roman Regular" w:hAnsi="Times New Roman Regular" w:eastAsia="仿宋" w:cs="Times New Roman Regular"/>
          <w:snapToGrid/>
          <w:color w:val="000000"/>
          <w:kern w:val="2"/>
          <w:sz w:val="32"/>
          <w:szCs w:val="32"/>
          <w:lang w:val="en-US" w:eastAsia="zh-CN" w:bidi="ar-SA"/>
        </w:rPr>
        <w:t>万元，包括本年收入</w:t>
      </w:r>
      <w:r>
        <w:rPr>
          <w:rFonts w:hint="eastAsia" w:ascii="Times New Roman Regular" w:hAnsi="Times New Roman Regular" w:eastAsia="仿宋" w:cs="Times New Roman Regular"/>
          <w:snapToGrid/>
          <w:color w:val="000000"/>
          <w:kern w:val="2"/>
          <w:sz w:val="32"/>
          <w:szCs w:val="32"/>
          <w:lang w:val="en-US" w:eastAsia="zh-CN" w:bidi="ar-SA"/>
        </w:rPr>
        <w:t>744.16</w:t>
      </w:r>
      <w:r>
        <w:rPr>
          <w:rFonts w:hint="default" w:ascii="Times New Roman Regular" w:hAnsi="Times New Roman Regular" w:eastAsia="仿宋" w:cs="Times New Roman Regular"/>
          <w:snapToGrid/>
          <w:color w:val="000000"/>
          <w:kern w:val="2"/>
          <w:sz w:val="32"/>
          <w:szCs w:val="32"/>
          <w:lang w:val="en-US" w:eastAsia="zh-CN" w:bidi="ar-SA"/>
        </w:rPr>
        <w:t>万元，上年结转结余0万元。其中：</w:t>
      </w:r>
    </w:p>
    <w:p w14:paraId="60F55A5E">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本年一般公共预算收入</w:t>
      </w:r>
      <w:r>
        <w:rPr>
          <w:rFonts w:hint="eastAsia" w:ascii="Times New Roman Regular" w:hAnsi="Times New Roman Regular" w:eastAsia="仿宋" w:cs="Times New Roman Regular"/>
          <w:snapToGrid/>
          <w:color w:val="000000"/>
          <w:kern w:val="2"/>
          <w:sz w:val="32"/>
          <w:szCs w:val="32"/>
          <w:lang w:val="en-US" w:eastAsia="zh-CN" w:bidi="ar-SA"/>
        </w:rPr>
        <w:t>744.16</w:t>
      </w:r>
      <w:r>
        <w:rPr>
          <w:rFonts w:hint="default" w:ascii="Times New Roman Regular" w:hAnsi="Times New Roman Regular" w:eastAsia="仿宋" w:cs="Times New Roman Regular"/>
          <w:snapToGrid/>
          <w:color w:val="000000"/>
          <w:kern w:val="2"/>
          <w:sz w:val="32"/>
          <w:szCs w:val="32"/>
          <w:lang w:val="en-US" w:eastAsia="zh-CN" w:bidi="ar-SA"/>
        </w:rPr>
        <w:t>万元，占100 %；</w:t>
      </w:r>
    </w:p>
    <w:p w14:paraId="3A429D0D">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本年政府性基金预算收入0万元，占0 % ；本年国有资本经营预算收入0万元，占0 %；本年财政专户管理资金0万元，占0 %；</w:t>
      </w:r>
    </w:p>
    <w:p w14:paraId="3029A4F6">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本年事业收入0万元，占0%；</w:t>
      </w:r>
    </w:p>
    <w:p w14:paraId="67652180">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本年事业单位经营收入0万元，占0 %；</w:t>
      </w:r>
    </w:p>
    <w:p w14:paraId="2C4A7F3E">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本年上级补助收入0万元，占0 %；</w:t>
      </w:r>
    </w:p>
    <w:p w14:paraId="0595A193">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本年附属单位上缴收入0万元，占0%；</w:t>
      </w:r>
    </w:p>
    <w:p w14:paraId="6B1919D2">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本年其他收入0万元，占0 %；</w:t>
      </w:r>
    </w:p>
    <w:p w14:paraId="5050534A">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上年结转结余的一般公共预算收入0万元，占0%；</w:t>
      </w:r>
    </w:p>
    <w:p w14:paraId="55883712">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上年结转结余的政府性基金预算收入0万元，占0 %；</w:t>
      </w:r>
    </w:p>
    <w:p w14:paraId="3886DC70">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上年结转结余的国有资本经营预算收入0万元，占0 %；</w:t>
      </w:r>
    </w:p>
    <w:p w14:paraId="13692C7B">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上年结转结余的财政专户管理资金0万元，占0 %；</w:t>
      </w:r>
    </w:p>
    <w:p w14:paraId="2304FF81">
      <w:pPr>
        <w:pStyle w:val="4"/>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Regular" w:hAnsi="Times New Roman Regular" w:eastAsia="仿宋" w:cs="Times New Roman Regular"/>
          <w:snapToGrid/>
          <w:color w:val="000000"/>
          <w:kern w:val="2"/>
          <w:sz w:val="32"/>
          <w:szCs w:val="32"/>
          <w:lang w:val="en-US" w:eastAsia="zh-CN" w:bidi="ar-SA"/>
        </w:rPr>
        <w:sectPr>
          <w:footerReference r:id="rId7" w:type="default"/>
          <w:pgSz w:w="11900" w:h="16840"/>
          <w:pgMar w:top="1431" w:right="1533" w:bottom="1099" w:left="1254" w:header="0" w:footer="841" w:gutter="0"/>
          <w:cols w:space="720" w:num="1"/>
        </w:sectPr>
      </w:pPr>
    </w:p>
    <w:p w14:paraId="6FA1DE17">
      <w:pPr>
        <w:pStyle w:val="7"/>
        <w:tabs>
          <w:tab w:val="left" w:pos="0"/>
        </w:tabs>
        <w:ind w:left="0" w:leftChars="0" w:firstLine="0"/>
        <w:jc w:val="center"/>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上年结转结余的单位资金0万元，占0 %。</w:t>
      </w:r>
    </w:p>
    <w:tbl>
      <w:tblPr>
        <w:tblStyle w:val="11"/>
        <w:tblW w:w="8502" w:type="dxa"/>
        <w:tblInd w:w="241" w:type="dxa"/>
        <w:tblBorders>
          <w:top w:val="single" w:color="D9D9D9" w:sz="8" w:space="0"/>
          <w:left w:val="single" w:color="D9D9D9" w:sz="6" w:space="0"/>
          <w:bottom w:val="single" w:color="D9D9D9" w:sz="8" w:space="0"/>
          <w:right w:val="single" w:color="D9D9D9" w:sz="6" w:space="0"/>
          <w:insideH w:val="none" w:color="auto" w:sz="0" w:space="0"/>
          <w:insideV w:val="none" w:color="auto" w:sz="0" w:space="0"/>
        </w:tblBorders>
        <w:tblLayout w:type="fixed"/>
        <w:tblCellMar>
          <w:top w:w="0" w:type="dxa"/>
          <w:left w:w="0" w:type="dxa"/>
          <w:bottom w:w="0" w:type="dxa"/>
          <w:right w:w="0" w:type="dxa"/>
        </w:tblCellMar>
      </w:tblPr>
      <w:tblGrid>
        <w:gridCol w:w="8502"/>
      </w:tblGrid>
      <w:tr w14:paraId="4CF68E2D">
        <w:tblPrEx>
          <w:tblBorders>
            <w:top w:val="single" w:color="D9D9D9" w:sz="8" w:space="0"/>
            <w:left w:val="single" w:color="D9D9D9" w:sz="6" w:space="0"/>
            <w:bottom w:val="single" w:color="D9D9D9" w:sz="8" w:space="0"/>
            <w:right w:val="single" w:color="D9D9D9" w:sz="6" w:space="0"/>
            <w:insideH w:val="none" w:color="auto" w:sz="0" w:space="0"/>
            <w:insideV w:val="none" w:color="auto" w:sz="0" w:space="0"/>
          </w:tblBorders>
          <w:tblCellMar>
            <w:top w:w="0" w:type="dxa"/>
            <w:left w:w="0" w:type="dxa"/>
            <w:bottom w:w="0" w:type="dxa"/>
            <w:right w:w="0" w:type="dxa"/>
          </w:tblCellMar>
        </w:tblPrEx>
        <w:trPr>
          <w:trHeight w:val="4310" w:hRule="atLeast"/>
        </w:trPr>
        <w:tc>
          <w:tcPr>
            <w:tcW w:w="8502" w:type="dxa"/>
            <w:noWrap w:val="0"/>
            <w:vAlign w:val="top"/>
          </w:tcPr>
          <w:p w14:paraId="4C367B4C">
            <w:pPr>
              <w:pStyle w:val="10"/>
              <w:spacing w:before="159" w:line="179" w:lineRule="auto"/>
              <w:ind w:left="3417"/>
              <w:rPr>
                <w:sz w:val="28"/>
                <w:szCs w:val="28"/>
              </w:rPr>
            </w:pPr>
            <w:r>
              <w:rPr>
                <w:color w:val="595959"/>
                <w:spacing w:val="-2"/>
                <w:sz w:val="28"/>
                <w:szCs w:val="28"/>
              </w:rPr>
              <w:t>一般公共预算</w:t>
            </w:r>
          </w:p>
          <w:p w14:paraId="52CC3729">
            <w:pPr>
              <w:spacing w:before="238" w:line="2888" w:lineRule="exact"/>
              <w:ind w:firstLine="2797"/>
            </w:pPr>
            <w:r>
              <w:rPr>
                <w:position w:val="-57"/>
              </w:rPr>
              <mc:AlternateContent>
                <mc:Choice Requires="wps">
                  <w:drawing>
                    <wp:inline distT="0" distB="0" distL="114300" distR="114300">
                      <wp:extent cx="1837055" cy="1833880"/>
                      <wp:effectExtent l="0" t="0" r="10795" b="13970"/>
                      <wp:docPr id="1" name="任意多边形 1"/>
                      <wp:cNvGraphicFramePr/>
                      <a:graphic xmlns:a="http://schemas.openxmlformats.org/drawingml/2006/main">
                        <a:graphicData uri="http://schemas.microsoft.com/office/word/2010/wordprocessingShape">
                          <wps:wsp>
                            <wps:cNvSpPr/>
                            <wps:spPr>
                              <a:xfrm>
                                <a:off x="0" y="0"/>
                                <a:ext cx="1837055" cy="1833880"/>
                              </a:xfrm>
                              <a:custGeom>
                                <a:avLst/>
                                <a:gdLst/>
                                <a:ahLst/>
                                <a:cxnLst/>
                                <a:pathLst>
                                  <a:path w="2892" h="2887">
                                    <a:moveTo>
                                      <a:pt x="1453" y="0"/>
                                    </a:moveTo>
                                    <a:cubicBezTo>
                                      <a:pt x="2248" y="0"/>
                                      <a:pt x="2892" y="646"/>
                                      <a:pt x="2892" y="1443"/>
                                    </a:cubicBezTo>
                                    <a:cubicBezTo>
                                      <a:pt x="2892" y="2240"/>
                                      <a:pt x="2248" y="2887"/>
                                      <a:pt x="1453" y="2887"/>
                                    </a:cubicBezTo>
                                    <a:cubicBezTo>
                                      <a:pt x="644" y="2887"/>
                                      <a:pt x="0" y="2240"/>
                                      <a:pt x="0" y="1443"/>
                                    </a:cubicBezTo>
                                    <a:cubicBezTo>
                                      <a:pt x="0" y="646"/>
                                      <a:pt x="644" y="0"/>
                                      <a:pt x="1453" y="0"/>
                                    </a:cubicBezTo>
                                    <a:lnTo>
                                      <a:pt x="1453" y="1443"/>
                                    </a:lnTo>
                                    <a:lnTo>
                                      <a:pt x="1453" y="0"/>
                                    </a:lnTo>
                                    <a:close/>
                                  </a:path>
                                </a:pathLst>
                              </a:custGeom>
                              <a:solidFill>
                                <a:srgbClr val="5B9BD5"/>
                              </a:solidFill>
                              <a:ln>
                                <a:noFill/>
                              </a:ln>
                            </wps:spPr>
                            <wps:bodyPr upright="1"/>
                          </wps:wsp>
                        </a:graphicData>
                      </a:graphic>
                    </wp:inline>
                  </w:drawing>
                </mc:Choice>
                <mc:Fallback>
                  <w:pict>
                    <v:shape id="_x0000_s1026" o:spid="_x0000_s1026" o:spt="100" style="height:144.4pt;width:144.65pt;" fillcolor="#5B9BD5" filled="t" stroked="f" coordsize="2892,2887" o:gfxdata="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L8EyEXWAAAABQEAAA8AAAAAAAAAAQAgAAAAIgAAAGRycy9kb3ducmV2Lnht&#10;bFBLAQIUABQAAAAIAIdO4kCp0hE2bQIAAMYFAAAOAAAAAAAAAAEAIAAAACUBAABkcnMvZTJvRG9j&#10;LnhtbFBLBQYAAAAABgAGAFkBAAAEBgAAAAA=&#10;" path="m1453,0c2248,0,2892,646,2892,1443c2892,2240,2248,2887,1453,2887c644,2887,0,2240,0,1443c0,646,644,0,1453,0l1453,1443,1453,0xe">
                      <v:fill on="t" focussize="0,0"/>
                      <v:stroke on="f"/>
                      <v:imagedata o:title=""/>
                      <o:lock v:ext="edit" aspectratio="f"/>
                      <w10:wrap type="none"/>
                      <w10:anchorlock/>
                    </v:shape>
                  </w:pict>
                </mc:Fallback>
              </mc:AlternateContent>
            </w:r>
          </w:p>
          <w:p w14:paraId="0BD7DE07">
            <w:pPr>
              <w:pStyle w:val="10"/>
              <w:spacing w:before="298" w:line="177" w:lineRule="auto"/>
              <w:ind w:left="3442" w:firstLine="696" w:firstLineChars="400"/>
              <w:rPr>
                <w:rFonts w:ascii="Arial" w:hAnsi="Arial" w:eastAsia="Arial" w:cs="Arial"/>
                <w:sz w:val="18"/>
                <w:szCs w:val="18"/>
              </w:rPr>
            </w:pPr>
            <w:r>
              <w:rPr>
                <w:color w:val="595959"/>
                <w:spacing w:val="-3"/>
                <w:position w:val="-1"/>
                <w:sz w:val="18"/>
                <w:szCs w:val="18"/>
              </w:rPr>
              <w:t xml:space="preserve">本年收入 </w:t>
            </w:r>
            <w:r>
              <w:rPr>
                <w:rFonts w:ascii="Arial" w:hAnsi="Arial" w:eastAsia="Arial" w:cs="Arial"/>
                <w:color w:val="5B9BD5"/>
                <w:spacing w:val="10"/>
                <w:position w:val="1"/>
                <w:sz w:val="18"/>
                <w:szCs w:val="18"/>
              </w:rPr>
              <w:t xml:space="preserve">  </w:t>
            </w:r>
          </w:p>
        </w:tc>
      </w:tr>
    </w:tbl>
    <w:p w14:paraId="261EA80A">
      <w:pPr>
        <w:pStyle w:val="7"/>
        <w:tabs>
          <w:tab w:val="left" w:pos="0"/>
        </w:tabs>
        <w:ind w:left="0" w:leftChars="0" w:firstLine="0"/>
        <w:jc w:val="both"/>
        <w:rPr>
          <w:rFonts w:hint="default" w:ascii="Times New Roman Regular" w:hAnsi="Times New Roman Regular" w:eastAsia="仿宋" w:cs="Times New Roman Regular"/>
          <w:snapToGrid/>
          <w:color w:val="000000"/>
          <w:kern w:val="2"/>
          <w:sz w:val="32"/>
          <w:szCs w:val="32"/>
          <w:lang w:val="en-US" w:eastAsia="zh-CN" w:bidi="ar-SA"/>
        </w:rPr>
      </w:pPr>
    </w:p>
    <w:p w14:paraId="5C24AC04">
      <w:pPr>
        <w:pStyle w:val="7"/>
        <w:tabs>
          <w:tab w:val="left" w:pos="0"/>
        </w:tabs>
        <w:ind w:left="0" w:leftChars="0" w:firstLine="0"/>
        <w:jc w:val="both"/>
        <w:rPr>
          <w:rFonts w:hint="default" w:ascii="Times New Roman Regular" w:hAnsi="Times New Roman Regular" w:eastAsia="仿宋" w:cs="Times New Roman Regular"/>
          <w:snapToGrid/>
          <w:color w:val="000000"/>
          <w:kern w:val="2"/>
          <w:sz w:val="32"/>
          <w:szCs w:val="32"/>
          <w:lang w:val="en-US" w:eastAsia="zh-CN" w:bidi="ar-SA"/>
        </w:rPr>
      </w:pPr>
    </w:p>
    <w:p w14:paraId="19252F9B">
      <w:pPr>
        <w:pStyle w:val="7"/>
        <w:tabs>
          <w:tab w:val="left" w:pos="0"/>
        </w:tabs>
        <w:ind w:left="0" w:leftChars="0" w:firstLine="0"/>
        <w:jc w:val="center"/>
        <w:rPr>
          <w:rFonts w:hint="eastAsia" w:ascii="Times New Roman" w:hAnsi="Times New Roman" w:eastAsia="仿宋_GB2312" w:cs="仿宋"/>
          <w:sz w:val="32"/>
          <w:szCs w:val="32"/>
          <w:highlight w:val="none"/>
          <w:lang w:eastAsia="zh-CN"/>
        </w:rPr>
      </w:pPr>
      <w:r>
        <w:rPr>
          <w:rFonts w:eastAsia="仿宋_GB2312"/>
          <w:sz w:val="32"/>
          <w:szCs w:val="32"/>
          <w:highlight w:val="none"/>
        </w:rPr>
        <w:t>图1.收入预算图</w:t>
      </w:r>
    </w:p>
    <w:p w14:paraId="7A961B4A">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三、支出预算情况说明</w:t>
      </w:r>
    </w:p>
    <w:p w14:paraId="36371914">
      <w:pPr>
        <w:pStyle w:val="4"/>
        <w:tabs>
          <w:tab w:val="left" w:pos="2671"/>
          <w:tab w:val="left" w:pos="5000"/>
          <w:tab w:val="left" w:pos="6190"/>
        </w:tabs>
        <w:spacing w:after="0" w:afterLines="0" w:line="600" w:lineRule="exact"/>
        <w:ind w:firstLine="640" w:firstLineChars="200"/>
        <w:rPr>
          <w:rFonts w:hint="default" w:ascii="宋体" w:hAnsi="宋体" w:eastAsia="仿宋_GB2312" w:cs="Times New Roman"/>
          <w:kern w:val="0"/>
          <w:sz w:val="32"/>
          <w:szCs w:val="32"/>
          <w:highlight w:val="none"/>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鄂尔多斯120医疗救援指挥中心202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年度支出预算合</w:t>
      </w:r>
      <w:r>
        <w:rPr>
          <w:rFonts w:hint="default" w:ascii="宋体" w:hAnsi="宋体" w:eastAsia="仿宋_GB2312" w:cs="Times New Roman"/>
          <w:kern w:val="0"/>
          <w:sz w:val="32"/>
          <w:szCs w:val="32"/>
          <w:highlight w:val="none"/>
          <w:lang w:val="en-US" w:eastAsia="zh-CN" w:bidi="ar-SA"/>
        </w:rPr>
        <w:t xml:space="preserve">计 </w:t>
      </w:r>
      <w:r>
        <w:rPr>
          <w:rFonts w:hint="eastAsia" w:ascii="宋体" w:hAnsi="宋体" w:eastAsia="仿宋_GB2312" w:cs="Times New Roman"/>
          <w:kern w:val="0"/>
          <w:sz w:val="32"/>
          <w:szCs w:val="32"/>
          <w:highlight w:val="none"/>
          <w:lang w:val="en-US" w:eastAsia="zh-CN" w:bidi="ar-SA"/>
        </w:rPr>
        <w:t>744.16</w:t>
      </w:r>
      <w:r>
        <w:rPr>
          <w:rFonts w:hint="default" w:ascii="宋体" w:hAnsi="宋体" w:eastAsia="仿宋_GB2312" w:cs="Times New Roman"/>
          <w:kern w:val="0"/>
          <w:sz w:val="32"/>
          <w:szCs w:val="32"/>
          <w:highlight w:val="none"/>
          <w:lang w:val="en-US" w:eastAsia="zh-CN" w:bidi="ar-SA"/>
        </w:rPr>
        <w:t xml:space="preserve"> 万元，其中：</w:t>
      </w:r>
    </w:p>
    <w:p w14:paraId="698855F2">
      <w:pPr>
        <w:pStyle w:val="4"/>
        <w:tabs>
          <w:tab w:val="left" w:pos="2671"/>
          <w:tab w:val="left" w:pos="5000"/>
          <w:tab w:val="left" w:pos="6190"/>
        </w:tabs>
        <w:spacing w:after="0" w:afterLines="0" w:line="600" w:lineRule="exact"/>
        <w:ind w:firstLine="640" w:firstLineChars="200"/>
        <w:rPr>
          <w:rFonts w:hint="eastAsia" w:ascii="宋体" w:hAnsi="宋体" w:eastAsia="仿宋_GB2312" w:cs="Times New Roman"/>
          <w:kern w:val="0"/>
          <w:sz w:val="32"/>
          <w:szCs w:val="32"/>
          <w:highlight w:val="none"/>
          <w:lang w:val="en-US" w:eastAsia="zh-CN" w:bidi="ar-SA"/>
        </w:rPr>
      </w:pPr>
      <w:r>
        <w:rPr>
          <w:rFonts w:hint="eastAsia" w:ascii="宋体" w:hAnsi="宋体" w:eastAsia="仿宋_GB2312" w:cs="Times New Roman"/>
          <w:kern w:val="0"/>
          <w:sz w:val="32"/>
          <w:szCs w:val="32"/>
          <w:highlight w:val="none"/>
          <w:lang w:val="en-US" w:eastAsia="zh-CN" w:bidi="ar-SA"/>
        </w:rPr>
        <w:t>基本支出479.42 万元，占64.42%；</w:t>
      </w:r>
    </w:p>
    <w:p w14:paraId="0741B098">
      <w:pPr>
        <w:pStyle w:val="4"/>
        <w:tabs>
          <w:tab w:val="left" w:pos="2671"/>
          <w:tab w:val="left" w:pos="5000"/>
          <w:tab w:val="left" w:pos="6190"/>
        </w:tabs>
        <w:spacing w:after="0" w:afterLines="0" w:line="600" w:lineRule="exact"/>
        <w:ind w:firstLine="640" w:firstLineChars="200"/>
        <w:rPr>
          <w:rFonts w:hint="eastAsia" w:ascii="宋体" w:hAnsi="宋体" w:eastAsia="仿宋_GB2312" w:cs="Times New Roman"/>
          <w:kern w:val="0"/>
          <w:sz w:val="32"/>
          <w:szCs w:val="32"/>
          <w:highlight w:val="none"/>
          <w:lang w:val="en-US" w:eastAsia="zh-CN" w:bidi="ar-SA"/>
        </w:rPr>
      </w:pPr>
      <w:r>
        <w:rPr>
          <w:rFonts w:hint="eastAsia" w:ascii="宋体" w:hAnsi="宋体" w:eastAsia="仿宋_GB2312" w:cs="Times New Roman"/>
          <w:kern w:val="0"/>
          <w:sz w:val="32"/>
          <w:szCs w:val="32"/>
          <w:highlight w:val="none"/>
          <w:lang w:val="en-US" w:eastAsia="zh-CN" w:bidi="ar-SA"/>
        </w:rPr>
        <w:t>项目支出264.74万元，占35.58%；</w:t>
      </w:r>
    </w:p>
    <w:p w14:paraId="4302AF7C">
      <w:pPr>
        <w:pStyle w:val="4"/>
        <w:tabs>
          <w:tab w:val="left" w:pos="2671"/>
          <w:tab w:val="left" w:pos="5000"/>
          <w:tab w:val="left" w:pos="6190"/>
        </w:tabs>
        <w:spacing w:after="0" w:afterLines="0" w:line="600" w:lineRule="exact"/>
        <w:ind w:firstLine="640" w:firstLineChars="200"/>
        <w:rPr>
          <w:rFonts w:hint="eastAsia" w:ascii="宋体" w:hAnsi="宋体" w:eastAsia="仿宋_GB2312" w:cs="Times New Roman"/>
          <w:kern w:val="0"/>
          <w:sz w:val="32"/>
          <w:szCs w:val="32"/>
          <w:highlight w:val="none"/>
          <w:lang w:val="en-US" w:eastAsia="zh-CN" w:bidi="ar-SA"/>
        </w:rPr>
      </w:pPr>
      <w:r>
        <w:rPr>
          <w:rFonts w:hint="eastAsia" w:ascii="宋体" w:hAnsi="宋体" w:eastAsia="仿宋_GB2312" w:cs="Times New Roman"/>
          <w:kern w:val="0"/>
          <w:sz w:val="32"/>
          <w:szCs w:val="32"/>
          <w:highlight w:val="none"/>
          <w:lang w:val="en-US" w:eastAsia="zh-CN" w:bidi="ar-SA"/>
        </w:rPr>
        <w:t>事业单位经营支出0万元，占0%；</w:t>
      </w:r>
    </w:p>
    <w:p w14:paraId="6358E9C1">
      <w:pPr>
        <w:pStyle w:val="4"/>
        <w:tabs>
          <w:tab w:val="left" w:pos="2671"/>
          <w:tab w:val="left" w:pos="5000"/>
          <w:tab w:val="left" w:pos="6190"/>
        </w:tabs>
        <w:spacing w:after="0" w:afterLines="0" w:line="600" w:lineRule="exact"/>
        <w:ind w:firstLine="640" w:firstLineChars="200"/>
        <w:rPr>
          <w:rFonts w:hint="eastAsia" w:ascii="宋体" w:hAnsi="宋体" w:eastAsia="仿宋_GB2312" w:cs="Times New Roman"/>
          <w:kern w:val="0"/>
          <w:sz w:val="32"/>
          <w:szCs w:val="32"/>
          <w:highlight w:val="none"/>
          <w:lang w:val="en-US" w:eastAsia="zh-CN" w:bidi="ar-SA"/>
        </w:rPr>
      </w:pPr>
      <w:r>
        <w:rPr>
          <w:rFonts w:hint="eastAsia" w:ascii="宋体" w:hAnsi="宋体" w:eastAsia="仿宋_GB2312" w:cs="Times New Roman"/>
          <w:kern w:val="0"/>
          <w:sz w:val="32"/>
          <w:szCs w:val="32"/>
          <w:highlight w:val="none"/>
          <w:lang w:val="en-US" w:eastAsia="zh-CN" w:bidi="ar-SA"/>
        </w:rPr>
        <w:t>上缴上级支出0万元，占0%；</w:t>
      </w:r>
    </w:p>
    <w:p w14:paraId="1521049C">
      <w:pPr>
        <w:pStyle w:val="4"/>
        <w:tabs>
          <w:tab w:val="left" w:pos="2671"/>
          <w:tab w:val="left" w:pos="5000"/>
          <w:tab w:val="left" w:pos="6190"/>
        </w:tabs>
        <w:spacing w:after="0" w:afterLines="0" w:line="600" w:lineRule="exact"/>
        <w:ind w:firstLine="640" w:firstLineChars="200"/>
        <w:rPr>
          <w:rFonts w:hint="eastAsia" w:ascii="宋体" w:hAnsi="宋体" w:eastAsia="仿宋_GB2312" w:cs="Times New Roman"/>
          <w:kern w:val="0"/>
          <w:sz w:val="32"/>
          <w:szCs w:val="32"/>
          <w:highlight w:val="none"/>
          <w:lang w:val="en-US" w:eastAsia="zh-CN" w:bidi="ar-SA"/>
        </w:rPr>
      </w:pPr>
      <w:r>
        <w:rPr>
          <w:rFonts w:hint="eastAsia" w:ascii="宋体" w:hAnsi="宋体" w:eastAsia="仿宋_GB2312" w:cs="Times New Roman"/>
          <w:kern w:val="0"/>
          <w:sz w:val="32"/>
          <w:szCs w:val="32"/>
          <w:highlight w:val="none"/>
          <w:lang w:val="en-US" w:eastAsia="zh-CN" w:bidi="ar-SA"/>
        </w:rPr>
        <w:t>对附属单位补助支出0万元，占0%。</w:t>
      </w:r>
    </w:p>
    <w:p w14:paraId="5AFB8540">
      <w:pPr>
        <w:pStyle w:val="7"/>
        <w:ind w:left="0" w:leftChars="0" w:firstLine="220"/>
        <w:jc w:val="both"/>
        <w:rPr>
          <w:rFonts w:hint="default" w:eastAsia="仿宋_GB2312"/>
          <w:sz w:val="32"/>
          <w:szCs w:val="32"/>
          <w:highlight w:val="none"/>
        </w:rPr>
      </w:pPr>
    </w:p>
    <w:p w14:paraId="6A5A9388">
      <w:pPr>
        <w:pStyle w:val="7"/>
        <w:ind w:left="0" w:leftChars="0" w:firstLine="0" w:firstLineChars="0"/>
        <w:jc w:val="both"/>
        <w:rPr>
          <w:rFonts w:hint="default" w:eastAsia="仿宋_GB2312"/>
          <w:sz w:val="32"/>
          <w:szCs w:val="32"/>
          <w:highlight w:val="none"/>
        </w:rPr>
      </w:pPr>
      <w:r>
        <w:rPr>
          <w:rFonts w:hint="eastAsia" w:ascii="仿宋" w:hAnsi="仿宋" w:eastAsia="仿宋" w:cs="仿宋"/>
          <w:snapToGrid/>
          <w:color w:val="000000"/>
          <w:spacing w:val="13"/>
          <w:kern w:val="0"/>
          <w:sz w:val="32"/>
          <w:szCs w:val="32"/>
          <w:u w:val="none"/>
          <w:lang w:val="en-US" w:eastAsia="zh-CN" w:bidi="ar-SA"/>
        </w:rPr>
        <w:t xml:space="preserve"> </w:t>
      </w:r>
      <w:r>
        <w:rPr>
          <w:rFonts w:hint="eastAsia" w:ascii="仿宋" w:hAnsi="仿宋" w:eastAsia="仿宋" w:cs="仿宋"/>
          <w:snapToGrid/>
          <w:color w:val="000000"/>
          <w:spacing w:val="13"/>
          <w:kern w:val="0"/>
          <w:sz w:val="32"/>
          <w:szCs w:val="32"/>
          <w:u w:val="none"/>
          <w:lang w:val="en-US" w:eastAsia="zh-CN" w:bidi="ar-SA"/>
        </w:rPr>
        <w:object>
          <v:shape id="_x0000_i1025" o:spt="75" type="#_x0000_t75" style="height:237pt;width:415.5pt;" o:ole="t" filled="f" o:preferrelative="t" stroked="f" coordsize="21600,21600" o:gfxdata="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">
            <v:path/>
            <v:fill on="f" focussize="0,0"/>
            <v:stroke on="f"/>
            <v:imagedata r:id="rId11" o:title=""/>
            <o:lock v:ext="edit" aspectratio="t"/>
            <w10:wrap type="none"/>
            <w10:anchorlock/>
          </v:shape>
          <o:OLEObject Type="Embed" ProgID="excel.sheet.8" ShapeID="_x0000_i1025" DrawAspect="Content" ObjectID="_1468075725" r:id="rId10">
            <o:LockedField>false</o:LockedField>
          </o:OLEObject>
        </w:object>
      </w:r>
    </w:p>
    <w:p w14:paraId="17D7C538">
      <w:pPr>
        <w:pStyle w:val="7"/>
        <w:ind w:left="0" w:leftChars="0" w:firstLine="220"/>
        <w:jc w:val="both"/>
        <w:rPr>
          <w:rFonts w:hint="default" w:eastAsia="仿宋_GB2312"/>
          <w:sz w:val="32"/>
          <w:szCs w:val="32"/>
          <w:highlight w:val="none"/>
        </w:rPr>
      </w:pPr>
    </w:p>
    <w:p w14:paraId="361D6A88">
      <w:pPr>
        <w:pStyle w:val="7"/>
        <w:ind w:left="0" w:leftChars="0" w:firstLine="220"/>
        <w:jc w:val="center"/>
        <w:rPr>
          <w:rFonts w:hint="default"/>
          <w:highlight w:val="none"/>
        </w:rPr>
      </w:pPr>
      <w:r>
        <w:rPr>
          <w:rFonts w:eastAsia="仿宋_GB2312"/>
          <w:sz w:val="32"/>
          <w:szCs w:val="32"/>
          <w:highlight w:val="none"/>
        </w:rPr>
        <w:t>图2.支出预算图</w:t>
      </w:r>
    </w:p>
    <w:p w14:paraId="0BC85971">
      <w:pPr>
        <w:pStyle w:val="4"/>
        <w:tabs>
          <w:tab w:val="left" w:pos="2671"/>
          <w:tab w:val="left" w:pos="5000"/>
          <w:tab w:val="left" w:pos="6190"/>
        </w:tabs>
        <w:spacing w:after="0" w:afterLines="0" w:line="600" w:lineRule="exact"/>
        <w:ind w:firstLine="640" w:firstLineChars="200"/>
        <w:rPr>
          <w:rFonts w:hint="eastAsia" w:ascii="Times New Roman" w:hAnsi="Times New Roman" w:eastAsia="仿宋_GB2312" w:cs="仿宋"/>
          <w:sz w:val="32"/>
          <w:szCs w:val="32"/>
          <w:highlight w:val="none"/>
        </w:rPr>
      </w:pPr>
    </w:p>
    <w:p w14:paraId="46BE5CAF">
      <w:pPr>
        <w:spacing w:line="600" w:lineRule="exact"/>
        <w:ind w:left="6" w:leftChars="0" w:firstLine="633" w:firstLineChars="198"/>
        <w:outlineLvl w:val="2"/>
        <w:rPr>
          <w:rFonts w:eastAsia="黑体" w:cs="黑体"/>
          <w:sz w:val="32"/>
          <w:szCs w:val="36"/>
          <w:highlight w:val="none"/>
        </w:rPr>
      </w:pPr>
      <w:r>
        <w:rPr>
          <w:rFonts w:hint="eastAsia" w:eastAsia="黑体" w:cs="黑体"/>
          <w:sz w:val="32"/>
          <w:szCs w:val="36"/>
          <w:highlight w:val="none"/>
        </w:rPr>
        <w:t>四、财政拨款收支预算总体情况说明</w:t>
      </w:r>
    </w:p>
    <w:p w14:paraId="0D8E73C7">
      <w:pPr>
        <w:pStyle w:val="4"/>
        <w:spacing w:before="201" w:line="268" w:lineRule="auto"/>
        <w:ind w:firstLine="643"/>
        <w:rPr>
          <w:rFonts w:ascii="微软雅黑" w:hAnsi="微软雅黑" w:eastAsia="微软雅黑" w:cs="微软雅黑"/>
          <w:sz w:val="31"/>
          <w:szCs w:val="31"/>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 xml:space="preserve">年度财政拨款收、 支总预算 </w:t>
      </w:r>
      <w:r>
        <w:rPr>
          <w:rFonts w:hint="eastAsia" w:ascii="Times New Roman Regular" w:hAnsi="Times New Roman Regular" w:eastAsia="仿宋" w:cs="Times New Roman Regular"/>
          <w:snapToGrid/>
          <w:color w:val="000000"/>
          <w:kern w:val="2"/>
          <w:sz w:val="32"/>
          <w:szCs w:val="32"/>
          <w:lang w:val="en-US" w:eastAsia="zh-CN" w:bidi="ar-SA"/>
        </w:rPr>
        <w:t>744.16</w:t>
      </w:r>
      <w:r>
        <w:rPr>
          <w:rFonts w:hint="default" w:ascii="Times New Roman Regular" w:hAnsi="Times New Roman Regular" w:eastAsia="仿宋" w:cs="Times New Roman Regular"/>
          <w:snapToGrid/>
          <w:color w:val="000000"/>
          <w:kern w:val="2"/>
          <w:sz w:val="32"/>
          <w:szCs w:val="32"/>
          <w:lang w:val="en-US" w:eastAsia="zh-CN" w:bidi="ar-SA"/>
        </w:rPr>
        <w:t>万元。与上年相比，财政拨款收、支总计各</w:t>
      </w:r>
      <w:r>
        <w:rPr>
          <w:rFonts w:hint="eastAsia" w:ascii="Times New Roman Regular" w:hAnsi="Times New Roman Regular" w:eastAsia="仿宋" w:cs="Times New Roman Regular"/>
          <w:snapToGrid/>
          <w:color w:val="000000"/>
          <w:kern w:val="2"/>
          <w:sz w:val="32"/>
          <w:szCs w:val="32"/>
          <w:lang w:val="en-US" w:eastAsia="zh-CN" w:bidi="ar-SA"/>
        </w:rPr>
        <w:t>减少</w:t>
      </w:r>
      <w:r>
        <w:rPr>
          <w:rFonts w:hint="default" w:ascii="Times New Roman Regular" w:hAnsi="Times New Roman Regular" w:eastAsia="仿宋" w:cs="Times New Roman Regular"/>
          <w:snapToGrid/>
          <w:color w:val="000000"/>
          <w:kern w:val="2"/>
          <w:sz w:val="32"/>
          <w:szCs w:val="32"/>
          <w:lang w:val="en-US" w:eastAsia="zh-CN" w:bidi="ar-SA"/>
        </w:rPr>
        <w:t xml:space="preserve"> </w:t>
      </w:r>
      <w:r>
        <w:rPr>
          <w:rFonts w:hint="eastAsia" w:ascii="Times New Roman Regular" w:hAnsi="Times New Roman Regular" w:eastAsia="仿宋" w:cs="Times New Roman Regular"/>
          <w:snapToGrid/>
          <w:color w:val="000000"/>
          <w:kern w:val="2"/>
          <w:sz w:val="32"/>
          <w:szCs w:val="32"/>
          <w:lang w:val="en-US" w:eastAsia="zh-CN" w:bidi="ar-SA"/>
        </w:rPr>
        <w:t>70.38</w:t>
      </w:r>
      <w:r>
        <w:rPr>
          <w:rFonts w:hint="default" w:ascii="Times New Roman Regular" w:hAnsi="Times New Roman Regular" w:eastAsia="仿宋" w:cs="Times New Roman Regular"/>
          <w:snapToGrid/>
          <w:color w:val="000000"/>
          <w:kern w:val="2"/>
          <w:sz w:val="32"/>
          <w:szCs w:val="32"/>
          <w:lang w:val="en-US" w:eastAsia="zh-CN" w:bidi="ar-SA"/>
        </w:rPr>
        <w:t>万元，</w:t>
      </w:r>
      <w:r>
        <w:rPr>
          <w:rFonts w:hint="eastAsia" w:ascii="Times New Roman Regular" w:hAnsi="Times New Roman Regular" w:eastAsia="仿宋" w:cs="Times New Roman Regular"/>
          <w:snapToGrid/>
          <w:color w:val="000000"/>
          <w:kern w:val="2"/>
          <w:sz w:val="32"/>
          <w:szCs w:val="32"/>
          <w:lang w:val="en-US" w:eastAsia="zh-CN" w:bidi="ar-SA"/>
        </w:rPr>
        <w:t>下降9.46</w:t>
      </w:r>
      <w:r>
        <w:rPr>
          <w:rFonts w:hint="default" w:ascii="Times New Roman Regular" w:hAnsi="Times New Roman Regular" w:eastAsia="仿宋" w:cs="Times New Roman Regular"/>
          <w:snapToGrid/>
          <w:color w:val="000000"/>
          <w:kern w:val="2"/>
          <w:sz w:val="32"/>
          <w:szCs w:val="32"/>
          <w:lang w:val="en-US" w:eastAsia="zh-CN" w:bidi="ar-SA"/>
        </w:rPr>
        <w:t>%。主要原因是</w:t>
      </w:r>
      <w:r>
        <w:rPr>
          <w:rFonts w:hint="eastAsia" w:ascii="Times New Roman Regular" w:hAnsi="Times New Roman Regular" w:eastAsia="仿宋" w:cs="Times New Roman Regular"/>
          <w:snapToGrid/>
          <w:color w:val="000000"/>
          <w:kern w:val="2"/>
          <w:sz w:val="32"/>
          <w:szCs w:val="32"/>
          <w:lang w:val="en-US" w:eastAsia="zh-CN" w:bidi="ar-SA"/>
        </w:rPr>
        <w:t>本年度无一次性项目</w:t>
      </w:r>
      <w:r>
        <w:rPr>
          <w:rFonts w:hint="default" w:ascii="Times New Roman Regular" w:hAnsi="Times New Roman Regular" w:eastAsia="仿宋" w:cs="Times New Roman Regular"/>
          <w:snapToGrid/>
          <w:color w:val="000000"/>
          <w:kern w:val="2"/>
          <w:sz w:val="32"/>
          <w:szCs w:val="32"/>
          <w:lang w:val="en-US" w:eastAsia="zh-CN" w:bidi="ar-SA"/>
        </w:rPr>
        <w:t>120院前急救东胜区直属急救站建设</w:t>
      </w:r>
      <w:r>
        <w:rPr>
          <w:rFonts w:hint="eastAsia" w:ascii="Times New Roman Regular" w:hAnsi="Times New Roman Regular" w:eastAsia="仿宋" w:cs="Times New Roman Regular"/>
          <w:snapToGrid/>
          <w:color w:val="000000"/>
          <w:kern w:val="2"/>
          <w:sz w:val="32"/>
          <w:szCs w:val="32"/>
          <w:lang w:val="en-US" w:eastAsia="zh-CN" w:bidi="ar-SA"/>
        </w:rPr>
        <w:t>经费</w:t>
      </w:r>
      <w:r>
        <w:rPr>
          <w:rFonts w:hint="default" w:ascii="Times New Roman Regular" w:hAnsi="Times New Roman Regular" w:eastAsia="仿宋" w:cs="Times New Roman Regular"/>
          <w:snapToGrid/>
          <w:color w:val="000000"/>
          <w:kern w:val="2"/>
          <w:sz w:val="32"/>
          <w:szCs w:val="32"/>
          <w:lang w:val="en-US" w:eastAsia="zh-CN" w:bidi="ar-SA"/>
        </w:rPr>
        <w:t>。</w:t>
      </w:r>
    </w:p>
    <w:p w14:paraId="6BF1BE4A">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五、一般公共预算支出预算情况说明</w:t>
      </w:r>
    </w:p>
    <w:p w14:paraId="1A1997A1">
      <w:pPr>
        <w:pStyle w:val="4"/>
        <w:tabs>
          <w:tab w:val="left" w:pos="4275"/>
        </w:tabs>
        <w:spacing w:after="0" w:afterLines="0" w:line="600" w:lineRule="exact"/>
        <w:ind w:firstLine="640" w:firstLineChars="200"/>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 xml:space="preserve"> 年度一般公共预算 财政拨款支出预算</w:t>
      </w:r>
      <w:r>
        <w:rPr>
          <w:rFonts w:hint="eastAsia" w:ascii="Times New Roman Regular" w:hAnsi="Times New Roman Regular" w:eastAsia="仿宋" w:cs="Times New Roman Regular"/>
          <w:snapToGrid/>
          <w:color w:val="000000"/>
          <w:kern w:val="2"/>
          <w:sz w:val="32"/>
          <w:szCs w:val="32"/>
          <w:lang w:val="en-US" w:eastAsia="zh-CN" w:bidi="ar-SA"/>
        </w:rPr>
        <w:t>744.16</w:t>
      </w:r>
      <w:r>
        <w:rPr>
          <w:rFonts w:hint="default" w:ascii="Times New Roman Regular" w:hAnsi="Times New Roman Regular" w:eastAsia="仿宋" w:cs="Times New Roman Regular"/>
          <w:snapToGrid/>
          <w:color w:val="000000"/>
          <w:kern w:val="2"/>
          <w:sz w:val="32"/>
          <w:szCs w:val="32"/>
          <w:lang w:val="en-US" w:eastAsia="zh-CN" w:bidi="ar-SA"/>
        </w:rPr>
        <w:t>万元，与上年相比</w:t>
      </w:r>
      <w:r>
        <w:rPr>
          <w:rFonts w:hint="eastAsia" w:ascii="Times New Roman Regular" w:hAnsi="Times New Roman Regular" w:eastAsia="仿宋" w:cs="Times New Roman Regular"/>
          <w:snapToGrid/>
          <w:color w:val="000000"/>
          <w:kern w:val="2"/>
          <w:sz w:val="32"/>
          <w:szCs w:val="32"/>
          <w:lang w:val="en-US" w:eastAsia="zh-CN" w:bidi="ar-SA"/>
        </w:rPr>
        <w:t>减少，70.38</w:t>
      </w:r>
      <w:r>
        <w:rPr>
          <w:rFonts w:hint="default" w:ascii="Times New Roman Regular" w:hAnsi="Times New Roman Regular" w:eastAsia="仿宋" w:cs="Times New Roman Regular"/>
          <w:snapToGrid/>
          <w:color w:val="000000"/>
          <w:kern w:val="2"/>
          <w:sz w:val="32"/>
          <w:szCs w:val="32"/>
          <w:lang w:val="en-US" w:eastAsia="zh-CN" w:bidi="ar-SA"/>
        </w:rPr>
        <w:t>万元，</w:t>
      </w:r>
      <w:r>
        <w:rPr>
          <w:rFonts w:hint="eastAsia" w:ascii="Times New Roman Regular" w:hAnsi="Times New Roman Regular" w:eastAsia="仿宋" w:cs="Times New Roman Regular"/>
          <w:snapToGrid/>
          <w:color w:val="000000"/>
          <w:kern w:val="2"/>
          <w:sz w:val="32"/>
          <w:szCs w:val="32"/>
          <w:lang w:val="en-US" w:eastAsia="zh-CN" w:bidi="ar-SA"/>
        </w:rPr>
        <w:t>下降9.46</w:t>
      </w:r>
      <w:r>
        <w:rPr>
          <w:rFonts w:hint="default" w:ascii="Times New Roman Regular" w:hAnsi="Times New Roman Regular" w:eastAsia="仿宋" w:cs="Times New Roman Regular"/>
          <w:snapToGrid/>
          <w:color w:val="000000"/>
          <w:kern w:val="2"/>
          <w:sz w:val="32"/>
          <w:szCs w:val="32"/>
          <w:lang w:val="en-US" w:eastAsia="zh-CN" w:bidi="ar-SA"/>
        </w:rPr>
        <w:t>% 。具体情况如下：</w:t>
      </w:r>
    </w:p>
    <w:p w14:paraId="2D2B0961">
      <w:pPr>
        <w:pStyle w:val="4"/>
        <w:tabs>
          <w:tab w:val="left" w:pos="4275"/>
        </w:tabs>
        <w:spacing w:after="0" w:afterLines="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（一）一般公共服务（类）</w:t>
      </w:r>
    </w:p>
    <w:p w14:paraId="0A0E0B42">
      <w:pPr>
        <w:widowControl/>
        <w:spacing w:before="240" w:after="240"/>
        <w:rPr>
          <w:rFonts w:ascii="Times New Roman" w:hAnsi="Times New Roman" w:eastAsia="Times New Roman" w:cs="Times New Roman"/>
          <w:kern w:val="0"/>
          <w:sz w:val="24"/>
        </w:rPr>
      </w:pPr>
      <w:r>
        <w:rPr>
          <w:rFonts w:ascii="kai_ti_gb2312" w:hAnsi="kai_ti_gb2312" w:eastAsia="kai_ti_gb2312" w:cs="kai_ti_gb2312"/>
          <w:b/>
          <w:bCs/>
          <w:kern w:val="0"/>
          <w:sz w:val="27"/>
          <w:szCs w:val="27"/>
          <w:highlight w:val="none"/>
        </w:rPr>
        <w:t>（</w:t>
      </w:r>
      <w:r>
        <w:rPr>
          <w:rFonts w:hint="eastAsia" w:ascii="kai_ti_gb2312" w:hAnsi="kai_ti_gb2312" w:eastAsia="宋体" w:cs="kai_ti_gb2312"/>
          <w:b/>
          <w:bCs/>
          <w:kern w:val="0"/>
          <w:sz w:val="27"/>
          <w:szCs w:val="27"/>
          <w:highlight w:val="none"/>
          <w:lang w:val="en-US" w:eastAsia="zh-CN"/>
        </w:rPr>
        <w:t>一</w:t>
      </w:r>
      <w:r>
        <w:rPr>
          <w:rFonts w:ascii="kai_ti_gb2312" w:hAnsi="kai_ti_gb2312" w:eastAsia="kai_ti_gb2312" w:cs="kai_ti_gb2312"/>
          <w:b/>
          <w:bCs/>
          <w:kern w:val="0"/>
          <w:sz w:val="27"/>
          <w:szCs w:val="27"/>
          <w:highlight w:val="none"/>
        </w:rPr>
        <w:t>）社会保障</w:t>
      </w:r>
      <w:r>
        <w:rPr>
          <w:rFonts w:ascii="kai_ti_gb2312" w:hAnsi="kai_ti_gb2312" w:eastAsia="kai_ti_gb2312" w:cs="kai_ti_gb2312"/>
          <w:b/>
          <w:bCs/>
          <w:kern w:val="0"/>
          <w:sz w:val="27"/>
          <w:szCs w:val="27"/>
        </w:rPr>
        <w:t>和就业支出（类）</w:t>
      </w:r>
    </w:p>
    <w:p w14:paraId="6F56CFF6">
      <w:pPr>
        <w:pStyle w:val="4"/>
        <w:spacing w:before="129" w:line="253" w:lineRule="auto"/>
        <w:ind w:right="86" w:firstLine="540" w:firstLineChars="200"/>
        <w:jc w:val="both"/>
        <w:rPr>
          <w:rFonts w:hint="eastAsia" w:ascii="仿宋" w:hAnsi="仿宋" w:eastAsia="仿宋" w:cs="仿宋"/>
          <w:color w:val="000000"/>
          <w:spacing w:val="13"/>
          <w:kern w:val="0"/>
          <w:sz w:val="32"/>
          <w:szCs w:val="32"/>
          <w:u w:val="none"/>
          <w:lang w:val="en-US" w:eastAsia="zh-CN"/>
        </w:rPr>
      </w:pPr>
      <w:r>
        <w:rPr>
          <w:rFonts w:ascii="fang_song_gb2312" w:hAnsi="fang_song_gb2312" w:eastAsia="fang_song_gb2312" w:cs="fang_song_gb2312"/>
          <w:kern w:val="0"/>
          <w:sz w:val="27"/>
          <w:szCs w:val="27"/>
        </w:rPr>
        <w:t xml:space="preserve">  </w:t>
      </w:r>
      <w:r>
        <w:rPr>
          <w:rFonts w:hint="eastAsia" w:ascii="仿宋" w:hAnsi="仿宋" w:eastAsia="仿宋" w:cs="仿宋"/>
          <w:color w:val="000000"/>
          <w:spacing w:val="13"/>
          <w:kern w:val="0"/>
          <w:sz w:val="32"/>
          <w:szCs w:val="32"/>
          <w:u w:val="none"/>
          <w:lang w:val="en-US" w:eastAsia="zh-CN"/>
        </w:rPr>
        <w:t>社会保障和就业支出类决算数为60.88万元，于上年相比增加21.05万元，增长34.57%，其中：</w:t>
      </w:r>
    </w:p>
    <w:p w14:paraId="5993F413">
      <w:pPr>
        <w:pStyle w:val="4"/>
        <w:spacing w:before="129" w:line="253" w:lineRule="auto"/>
        <w:ind w:right="86" w:firstLine="692" w:firstLineChars="200"/>
        <w:jc w:val="both"/>
        <w:rPr>
          <w:rFonts w:hint="default" w:ascii="仿宋" w:hAnsi="仿宋" w:eastAsia="仿宋" w:cs="仿宋"/>
          <w:color w:val="000000"/>
          <w:spacing w:val="13"/>
          <w:kern w:val="0"/>
          <w:sz w:val="32"/>
          <w:szCs w:val="32"/>
          <w:u w:val="none"/>
          <w:lang w:val="en-US" w:eastAsia="zh-CN"/>
        </w:rPr>
      </w:pPr>
      <w:r>
        <w:rPr>
          <w:rFonts w:hint="eastAsia" w:ascii="仿宋" w:hAnsi="仿宋" w:eastAsia="仿宋" w:cs="仿宋"/>
          <w:color w:val="000000"/>
          <w:spacing w:val="13"/>
          <w:kern w:val="0"/>
          <w:sz w:val="32"/>
          <w:szCs w:val="32"/>
          <w:u w:val="none"/>
          <w:lang w:val="en-US" w:eastAsia="zh-CN"/>
        </w:rPr>
        <w:t>事业单位离退休5.67万元，用于离退休人员工资发放。比上年增加0万元，原因为退休人员工资无变化。</w:t>
      </w:r>
    </w:p>
    <w:p w14:paraId="7380050F">
      <w:pPr>
        <w:pStyle w:val="4"/>
        <w:spacing w:before="129" w:line="253" w:lineRule="auto"/>
        <w:ind w:right="86" w:firstLine="692" w:firstLineChars="200"/>
        <w:jc w:val="both"/>
        <w:rPr>
          <w:rFonts w:hint="eastAsia" w:ascii="仿宋" w:hAnsi="仿宋" w:eastAsia="仿宋" w:cs="仿宋"/>
          <w:color w:val="000000"/>
          <w:spacing w:val="13"/>
          <w:kern w:val="0"/>
          <w:sz w:val="32"/>
          <w:szCs w:val="32"/>
          <w:u w:val="none"/>
          <w:lang w:val="en-US" w:eastAsia="zh-CN"/>
        </w:rPr>
      </w:pPr>
      <w:r>
        <w:rPr>
          <w:rFonts w:hint="eastAsia" w:ascii="仿宋" w:hAnsi="仿宋" w:eastAsia="仿宋" w:cs="仿宋"/>
          <w:color w:val="000000"/>
          <w:spacing w:val="13"/>
          <w:kern w:val="0"/>
          <w:sz w:val="32"/>
          <w:szCs w:val="32"/>
          <w:u w:val="none"/>
          <w:lang w:val="en-US" w:eastAsia="zh-CN"/>
        </w:rPr>
        <w:t>机关事业单位基本养老保险缴费支出35.76万元，用于职工养老保险缴纳。比上年增加0.74万元，原因为基数增加，缴纳额增加。</w:t>
      </w:r>
    </w:p>
    <w:p w14:paraId="3D064748">
      <w:pPr>
        <w:pStyle w:val="4"/>
        <w:spacing w:before="129" w:line="253" w:lineRule="auto"/>
        <w:ind w:right="86" w:firstLine="692" w:firstLineChars="200"/>
        <w:jc w:val="both"/>
        <w:rPr>
          <w:rFonts w:hint="default" w:ascii="仿宋" w:hAnsi="仿宋" w:eastAsia="仿宋" w:cs="仿宋"/>
          <w:color w:val="000000"/>
          <w:spacing w:val="13"/>
          <w:kern w:val="0"/>
          <w:sz w:val="32"/>
          <w:szCs w:val="32"/>
          <w:u w:val="none"/>
          <w:lang w:val="en-US" w:eastAsia="zh-CN"/>
        </w:rPr>
      </w:pPr>
      <w:r>
        <w:rPr>
          <w:rFonts w:hint="default" w:ascii="仿宋" w:hAnsi="仿宋" w:eastAsia="仿宋" w:cs="仿宋"/>
          <w:color w:val="000000"/>
          <w:spacing w:val="13"/>
          <w:kern w:val="0"/>
          <w:sz w:val="32"/>
          <w:szCs w:val="32"/>
          <w:u w:val="none"/>
          <w:lang w:val="en-US" w:eastAsia="zh-CN"/>
        </w:rPr>
        <w:t>机关事业单位职业年金缴费支出</w:t>
      </w:r>
      <w:r>
        <w:rPr>
          <w:rFonts w:hint="eastAsia" w:ascii="仿宋" w:hAnsi="仿宋" w:eastAsia="仿宋" w:cs="仿宋"/>
          <w:color w:val="000000"/>
          <w:spacing w:val="13"/>
          <w:kern w:val="0"/>
          <w:sz w:val="32"/>
          <w:szCs w:val="32"/>
          <w:u w:val="none"/>
          <w:lang w:val="en-US" w:eastAsia="zh-CN"/>
        </w:rPr>
        <w:t>17.88，用于职工职业年金缴纳。比上年增加17.88万元，原因上年度无此项，故缴纳额增加。</w:t>
      </w:r>
    </w:p>
    <w:p w14:paraId="29F41C9E">
      <w:pPr>
        <w:pStyle w:val="4"/>
        <w:spacing w:before="129" w:line="253" w:lineRule="auto"/>
        <w:ind w:right="86" w:firstLine="692" w:firstLineChars="200"/>
        <w:jc w:val="both"/>
        <w:rPr>
          <w:rFonts w:hint="eastAsia" w:ascii="仿宋" w:hAnsi="仿宋" w:eastAsia="仿宋" w:cs="仿宋"/>
          <w:color w:val="000000"/>
          <w:spacing w:val="13"/>
          <w:kern w:val="0"/>
          <w:sz w:val="32"/>
          <w:szCs w:val="32"/>
          <w:u w:val="none"/>
          <w:lang w:val="en-US" w:eastAsia="zh-CN"/>
        </w:rPr>
      </w:pPr>
      <w:r>
        <w:rPr>
          <w:rFonts w:hint="eastAsia" w:ascii="仿宋" w:hAnsi="仿宋" w:eastAsia="仿宋" w:cs="仿宋"/>
          <w:color w:val="000000"/>
          <w:spacing w:val="13"/>
          <w:kern w:val="0"/>
          <w:sz w:val="32"/>
          <w:szCs w:val="32"/>
          <w:u w:val="none"/>
          <w:lang w:val="en-US" w:eastAsia="zh-CN"/>
        </w:rPr>
        <w:t>其他社会保障和就业支出1.56万元。用于职工失业保和工伤保险的险缴纳。比上年增加0.13万元，原因为基数变动，缴纳额变动。</w:t>
      </w:r>
    </w:p>
    <w:p w14:paraId="2A0D5E39">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w:t>
      </w:r>
      <w:r>
        <w:rPr>
          <w:rFonts w:hint="eastAsia" w:ascii="kai_ti_gb2312" w:hAnsi="kai_ti_gb2312" w:eastAsia="宋体" w:cs="kai_ti_gb2312"/>
          <w:b/>
          <w:bCs/>
          <w:kern w:val="0"/>
          <w:sz w:val="27"/>
          <w:szCs w:val="27"/>
          <w:lang w:val="en-US" w:eastAsia="zh-CN"/>
        </w:rPr>
        <w:t>二</w:t>
      </w:r>
      <w:r>
        <w:rPr>
          <w:rFonts w:ascii="kai_ti_gb2312" w:hAnsi="kai_ti_gb2312" w:eastAsia="kai_ti_gb2312" w:cs="kai_ti_gb2312"/>
          <w:b/>
          <w:bCs/>
          <w:kern w:val="0"/>
          <w:sz w:val="27"/>
          <w:szCs w:val="27"/>
        </w:rPr>
        <w:t>）卫生健康支出（类）</w:t>
      </w:r>
    </w:p>
    <w:p w14:paraId="40EFCCC2">
      <w:pPr>
        <w:keepNext w:val="0"/>
        <w:keepLines w:val="0"/>
        <w:widowControl/>
        <w:suppressLineNumbers w:val="0"/>
        <w:spacing w:before="100" w:beforeAutospacing="1" w:after="100" w:afterAutospacing="1" w:line="360" w:lineRule="auto"/>
        <w:ind w:right="0" w:firstLine="692" w:firstLineChars="200"/>
        <w:jc w:val="both"/>
        <w:rPr>
          <w:rFonts w:hint="eastAsia" w:ascii="仿宋" w:hAnsi="仿宋" w:eastAsia="仿宋" w:cs="仿宋"/>
          <w:color w:val="000000"/>
          <w:spacing w:val="13"/>
          <w:kern w:val="0"/>
          <w:sz w:val="32"/>
          <w:szCs w:val="32"/>
          <w:u w:val="none"/>
        </w:rPr>
      </w:pPr>
      <w:r>
        <w:rPr>
          <w:rFonts w:hint="eastAsia" w:ascii="仿宋" w:hAnsi="仿宋" w:eastAsia="仿宋" w:cs="仿宋"/>
          <w:color w:val="000000"/>
          <w:spacing w:val="13"/>
          <w:kern w:val="0"/>
          <w:sz w:val="32"/>
          <w:szCs w:val="32"/>
          <w:u w:val="none"/>
        </w:rPr>
        <w:t>卫生健康支出类决算数为</w:t>
      </w:r>
      <w:r>
        <w:rPr>
          <w:rFonts w:hint="eastAsia" w:ascii="仿宋" w:hAnsi="仿宋" w:eastAsia="仿宋" w:cs="仿宋"/>
          <w:color w:val="000000"/>
          <w:spacing w:val="13"/>
          <w:kern w:val="0"/>
          <w:sz w:val="32"/>
          <w:szCs w:val="32"/>
          <w:u w:val="none"/>
          <w:lang w:val="en-US" w:eastAsia="zh-CN"/>
        </w:rPr>
        <w:t>649.21</w:t>
      </w:r>
      <w:r>
        <w:rPr>
          <w:rFonts w:hint="eastAsia" w:ascii="仿宋" w:hAnsi="仿宋" w:eastAsia="仿宋" w:cs="仿宋"/>
          <w:color w:val="000000"/>
          <w:spacing w:val="13"/>
          <w:kern w:val="0"/>
          <w:sz w:val="32"/>
          <w:szCs w:val="32"/>
          <w:u w:val="none"/>
        </w:rPr>
        <w:t>万元，</w:t>
      </w:r>
      <w:r>
        <w:rPr>
          <w:rFonts w:hint="eastAsia" w:ascii="仿宋" w:hAnsi="仿宋" w:eastAsia="仿宋" w:cs="仿宋"/>
          <w:color w:val="000000"/>
          <w:spacing w:val="13"/>
          <w:kern w:val="0"/>
          <w:sz w:val="32"/>
          <w:szCs w:val="32"/>
          <w:u w:val="none"/>
          <w:lang w:val="en-US" w:eastAsia="zh-CN"/>
        </w:rPr>
        <w:t>用于中心网络、培训等业务开展等支出。</w:t>
      </w:r>
      <w:r>
        <w:rPr>
          <w:rFonts w:hint="eastAsia" w:ascii="仿宋" w:hAnsi="仿宋" w:eastAsia="仿宋" w:cs="仿宋"/>
          <w:color w:val="000000"/>
          <w:spacing w:val="13"/>
          <w:kern w:val="0"/>
          <w:sz w:val="32"/>
          <w:szCs w:val="32"/>
          <w:u w:val="none"/>
        </w:rPr>
        <w:t>与</w:t>
      </w:r>
      <w:r>
        <w:rPr>
          <w:rFonts w:hint="eastAsia" w:ascii="仿宋" w:hAnsi="仿宋" w:eastAsia="仿宋" w:cs="仿宋"/>
          <w:color w:val="000000"/>
          <w:spacing w:val="13"/>
          <w:kern w:val="0"/>
          <w:sz w:val="32"/>
          <w:szCs w:val="32"/>
          <w:u w:val="none"/>
          <w:lang w:val="en-US" w:eastAsia="zh-CN"/>
        </w:rPr>
        <w:t>上年数</w:t>
      </w:r>
      <w:r>
        <w:rPr>
          <w:rFonts w:hint="eastAsia" w:ascii="仿宋" w:hAnsi="仿宋" w:eastAsia="仿宋" w:cs="仿宋"/>
          <w:color w:val="000000"/>
          <w:spacing w:val="13"/>
          <w:kern w:val="0"/>
          <w:sz w:val="32"/>
          <w:szCs w:val="32"/>
          <w:u w:val="none"/>
        </w:rPr>
        <w:t>相比</w:t>
      </w:r>
      <w:r>
        <w:rPr>
          <w:rFonts w:hint="eastAsia" w:ascii="仿宋" w:hAnsi="仿宋" w:eastAsia="仿宋" w:cs="仿宋"/>
          <w:color w:val="000000"/>
          <w:spacing w:val="13"/>
          <w:kern w:val="0"/>
          <w:sz w:val="32"/>
          <w:szCs w:val="32"/>
          <w:u w:val="none"/>
          <w:lang w:val="en-US" w:eastAsia="zh-CN"/>
        </w:rPr>
        <w:t xml:space="preserve">减少93.94 </w:t>
      </w:r>
      <w:r>
        <w:rPr>
          <w:rFonts w:hint="eastAsia" w:ascii="仿宋" w:hAnsi="仿宋" w:eastAsia="仿宋" w:cs="仿宋"/>
          <w:color w:val="000000"/>
          <w:spacing w:val="13"/>
          <w:kern w:val="0"/>
          <w:sz w:val="32"/>
          <w:szCs w:val="32"/>
          <w:u w:val="none"/>
        </w:rPr>
        <w:t>万元</w:t>
      </w:r>
      <w:r>
        <w:rPr>
          <w:rFonts w:hint="eastAsia" w:ascii="仿宋" w:hAnsi="仿宋" w:eastAsia="仿宋" w:cs="仿宋"/>
          <w:color w:val="000000"/>
          <w:spacing w:val="13"/>
          <w:kern w:val="0"/>
          <w:sz w:val="32"/>
          <w:szCs w:val="32"/>
          <w:u w:val="none"/>
          <w:lang w:eastAsia="zh-CN"/>
        </w:rPr>
        <w:t>，</w:t>
      </w:r>
      <w:r>
        <w:rPr>
          <w:rFonts w:hint="eastAsia" w:ascii="仿宋" w:hAnsi="仿宋" w:eastAsia="仿宋" w:cs="仿宋"/>
          <w:color w:val="000000"/>
          <w:spacing w:val="13"/>
          <w:kern w:val="0"/>
          <w:sz w:val="32"/>
          <w:szCs w:val="32"/>
          <w:u w:val="none"/>
          <w:lang w:val="en-US" w:eastAsia="zh-CN"/>
        </w:rPr>
        <w:t>下降14.46%</w:t>
      </w:r>
      <w:r>
        <w:rPr>
          <w:rFonts w:hint="eastAsia" w:ascii="仿宋" w:hAnsi="仿宋" w:eastAsia="仿宋" w:cs="仿宋"/>
          <w:color w:val="000000"/>
          <w:spacing w:val="13"/>
          <w:kern w:val="0"/>
          <w:sz w:val="32"/>
          <w:szCs w:val="32"/>
          <w:u w:val="none"/>
        </w:rPr>
        <w:t>。其中：</w:t>
      </w:r>
    </w:p>
    <w:p w14:paraId="14A7D74A">
      <w:pPr>
        <w:keepNext w:val="0"/>
        <w:keepLines w:val="0"/>
        <w:widowControl/>
        <w:suppressLineNumbers w:val="0"/>
        <w:spacing w:before="100" w:beforeAutospacing="1" w:after="100" w:afterAutospacing="1" w:line="360" w:lineRule="auto"/>
        <w:ind w:right="0" w:firstLine="692" w:firstLineChars="200"/>
        <w:jc w:val="both"/>
        <w:rPr>
          <w:rFonts w:hint="default" w:ascii="仿宋" w:hAnsi="仿宋" w:eastAsia="仿宋" w:cs="仿宋"/>
          <w:color w:val="000000"/>
          <w:spacing w:val="13"/>
          <w:kern w:val="0"/>
          <w:sz w:val="32"/>
          <w:szCs w:val="32"/>
          <w:u w:val="none"/>
          <w:lang w:val="en-US" w:eastAsia="zh-CN"/>
        </w:rPr>
      </w:pPr>
      <w:r>
        <w:rPr>
          <w:rFonts w:hint="eastAsia" w:ascii="仿宋" w:hAnsi="仿宋" w:eastAsia="仿宋" w:cs="仿宋"/>
          <w:color w:val="000000"/>
          <w:spacing w:val="13"/>
          <w:kern w:val="0"/>
          <w:sz w:val="32"/>
          <w:szCs w:val="32"/>
          <w:u w:val="none"/>
          <w:lang w:val="en-US" w:eastAsia="zh-CN"/>
        </w:rPr>
        <w:t>应急救治机构726.01万元，用于中心建站等各项工作开展。比上年减少95.09万元，原因为无一次性项目东胜区建立直属急救站经费</w:t>
      </w:r>
      <w:r>
        <w:rPr>
          <w:rFonts w:hint="eastAsia" w:ascii="仿宋" w:hAnsi="仿宋" w:eastAsia="仿宋" w:cs="仿宋"/>
          <w:snapToGrid/>
          <w:color w:val="000000"/>
          <w:spacing w:val="13"/>
          <w:kern w:val="0"/>
          <w:sz w:val="32"/>
          <w:szCs w:val="32"/>
          <w:u w:val="none"/>
          <w:lang w:val="en-US" w:eastAsia="zh-CN" w:bidi="ar-SA"/>
        </w:rPr>
        <w:t>。</w:t>
      </w:r>
    </w:p>
    <w:p w14:paraId="4E069A91">
      <w:pPr>
        <w:pStyle w:val="4"/>
        <w:spacing w:before="129" w:line="253" w:lineRule="auto"/>
        <w:ind w:right="86" w:firstLine="692" w:firstLineChars="200"/>
        <w:jc w:val="both"/>
        <w:rPr>
          <w:rFonts w:hint="default" w:ascii="仿宋" w:hAnsi="仿宋" w:eastAsia="仿宋" w:cs="仿宋"/>
          <w:color w:val="000000"/>
          <w:spacing w:val="13"/>
          <w:kern w:val="0"/>
          <w:sz w:val="32"/>
          <w:szCs w:val="32"/>
          <w:u w:val="none"/>
          <w:lang w:val="en-US" w:eastAsia="zh-CN"/>
        </w:rPr>
      </w:pPr>
      <w:r>
        <w:rPr>
          <w:rFonts w:hint="eastAsia" w:ascii="仿宋" w:hAnsi="仿宋" w:eastAsia="仿宋" w:cs="仿宋"/>
          <w:color w:val="000000"/>
          <w:spacing w:val="13"/>
          <w:kern w:val="0"/>
          <w:sz w:val="32"/>
          <w:szCs w:val="32"/>
          <w:u w:val="none"/>
          <w:lang w:val="en-US" w:eastAsia="zh-CN"/>
        </w:rPr>
        <w:t>事业单位医疗17.14万元，用于职工养老保险缴纳。比上年减少1.15万元，原因为基数变动，缴纳额变动。</w:t>
      </w:r>
    </w:p>
    <w:p w14:paraId="563C8620">
      <w:pPr>
        <w:widowControl/>
        <w:spacing w:before="240" w:after="240"/>
        <w:jc w:val="left"/>
        <w:rPr>
          <w:rFonts w:ascii="Times New Roman" w:hAnsi="Times New Roman" w:eastAsia="Times New Roman" w:cs="Times New Roman"/>
          <w:kern w:val="0"/>
          <w:sz w:val="24"/>
          <w:highlight w:val="none"/>
        </w:rPr>
      </w:pPr>
      <w:r>
        <w:rPr>
          <w:rFonts w:ascii="kai_ti_gb2312" w:hAnsi="kai_ti_gb2312" w:eastAsia="kai_ti_gb2312" w:cs="kai_ti_gb2312"/>
          <w:b/>
          <w:bCs/>
          <w:kern w:val="0"/>
          <w:sz w:val="27"/>
          <w:szCs w:val="27"/>
          <w:highlight w:val="none"/>
        </w:rPr>
        <w:t>（</w:t>
      </w:r>
      <w:r>
        <w:rPr>
          <w:rFonts w:hint="eastAsia" w:ascii="kai_ti_gb2312" w:hAnsi="kai_ti_gb2312" w:eastAsia="宋体" w:cs="kai_ti_gb2312"/>
          <w:b/>
          <w:bCs/>
          <w:kern w:val="0"/>
          <w:sz w:val="27"/>
          <w:szCs w:val="27"/>
          <w:highlight w:val="none"/>
          <w:lang w:val="en-US" w:eastAsia="zh-CN"/>
        </w:rPr>
        <w:t>3</w:t>
      </w:r>
      <w:r>
        <w:rPr>
          <w:rFonts w:ascii="kai_ti_gb2312" w:hAnsi="kai_ti_gb2312" w:eastAsia="kai_ti_gb2312" w:cs="kai_ti_gb2312"/>
          <w:b/>
          <w:bCs/>
          <w:kern w:val="0"/>
          <w:sz w:val="27"/>
          <w:szCs w:val="27"/>
          <w:highlight w:val="none"/>
        </w:rPr>
        <w:t>）住房保障支出（类）</w:t>
      </w:r>
    </w:p>
    <w:p w14:paraId="4F784041">
      <w:pPr>
        <w:keepNext w:val="0"/>
        <w:keepLines w:val="0"/>
        <w:widowControl/>
        <w:suppressLineNumbers w:val="0"/>
        <w:spacing w:before="100" w:beforeAutospacing="1" w:after="100" w:afterAutospacing="1" w:line="360" w:lineRule="auto"/>
        <w:ind w:right="0" w:firstLine="540" w:firstLineChars="200"/>
        <w:jc w:val="both"/>
        <w:rPr>
          <w:rFonts w:hint="eastAsia" w:ascii="仿宋" w:hAnsi="仿宋" w:eastAsia="仿宋" w:cs="仿宋"/>
          <w:color w:val="000000"/>
          <w:spacing w:val="13"/>
          <w:kern w:val="0"/>
          <w:sz w:val="32"/>
          <w:szCs w:val="32"/>
          <w:highlight w:val="none"/>
          <w:u w:val="none"/>
        </w:rPr>
      </w:pPr>
      <w:r>
        <w:rPr>
          <w:rFonts w:ascii="fang_song_gb2312" w:hAnsi="fang_song_gb2312" w:eastAsia="fang_song_gb2312" w:cs="fang_song_gb2312"/>
          <w:kern w:val="0"/>
          <w:sz w:val="27"/>
          <w:szCs w:val="27"/>
          <w:highlight w:val="none"/>
        </w:rPr>
        <w:t xml:space="preserve">    </w:t>
      </w:r>
      <w:r>
        <w:rPr>
          <w:rFonts w:hint="eastAsia" w:ascii="仿宋" w:hAnsi="仿宋" w:eastAsia="仿宋" w:cs="仿宋"/>
          <w:color w:val="000000"/>
          <w:spacing w:val="13"/>
          <w:kern w:val="0"/>
          <w:sz w:val="32"/>
          <w:szCs w:val="32"/>
          <w:highlight w:val="none"/>
          <w:u w:val="none"/>
        </w:rPr>
        <w:t>住房保障支出类</w:t>
      </w:r>
      <w:r>
        <w:rPr>
          <w:rFonts w:hint="eastAsia" w:ascii="仿宋" w:hAnsi="仿宋" w:eastAsia="仿宋" w:cs="仿宋"/>
          <w:color w:val="000000"/>
          <w:spacing w:val="13"/>
          <w:kern w:val="0"/>
          <w:sz w:val="32"/>
          <w:szCs w:val="32"/>
          <w:highlight w:val="none"/>
          <w:u w:val="none"/>
          <w:lang w:val="en-US" w:eastAsia="zh-CN"/>
        </w:rPr>
        <w:t>支出</w:t>
      </w:r>
      <w:r>
        <w:rPr>
          <w:rFonts w:hint="eastAsia" w:ascii="仿宋" w:hAnsi="仿宋" w:eastAsia="仿宋" w:cs="仿宋"/>
          <w:color w:val="000000"/>
          <w:spacing w:val="13"/>
          <w:kern w:val="0"/>
          <w:sz w:val="32"/>
          <w:szCs w:val="32"/>
          <w:highlight w:val="none"/>
          <w:u w:val="none"/>
        </w:rPr>
        <w:t>数为</w:t>
      </w:r>
      <w:r>
        <w:rPr>
          <w:rFonts w:hint="eastAsia" w:ascii="仿宋" w:hAnsi="仿宋" w:eastAsia="仿宋" w:cs="仿宋"/>
          <w:color w:val="000000"/>
          <w:spacing w:val="13"/>
          <w:kern w:val="0"/>
          <w:sz w:val="32"/>
          <w:szCs w:val="32"/>
          <w:highlight w:val="none"/>
          <w:u w:val="none"/>
          <w:lang w:val="en-US" w:eastAsia="zh-CN"/>
        </w:rPr>
        <w:t>31.56</w:t>
      </w:r>
      <w:r>
        <w:rPr>
          <w:rFonts w:hint="eastAsia" w:ascii="仿宋" w:hAnsi="仿宋" w:eastAsia="仿宋" w:cs="仿宋"/>
          <w:color w:val="000000"/>
          <w:spacing w:val="13"/>
          <w:kern w:val="0"/>
          <w:sz w:val="32"/>
          <w:szCs w:val="32"/>
          <w:highlight w:val="none"/>
          <w:u w:val="none"/>
        </w:rPr>
        <w:t>万元，与</w:t>
      </w:r>
      <w:r>
        <w:rPr>
          <w:rFonts w:hint="eastAsia" w:ascii="仿宋" w:hAnsi="仿宋" w:eastAsia="仿宋" w:cs="仿宋"/>
          <w:color w:val="000000"/>
          <w:spacing w:val="13"/>
          <w:kern w:val="0"/>
          <w:sz w:val="32"/>
          <w:szCs w:val="32"/>
          <w:highlight w:val="none"/>
          <w:u w:val="none"/>
          <w:lang w:val="en-US" w:eastAsia="zh-CN"/>
        </w:rPr>
        <w:t>上年</w:t>
      </w:r>
      <w:r>
        <w:rPr>
          <w:rFonts w:hint="eastAsia" w:ascii="仿宋" w:hAnsi="仿宋" w:eastAsia="仿宋" w:cs="仿宋"/>
          <w:color w:val="000000"/>
          <w:spacing w:val="13"/>
          <w:kern w:val="0"/>
          <w:sz w:val="32"/>
          <w:szCs w:val="32"/>
          <w:highlight w:val="none"/>
          <w:u w:val="none"/>
        </w:rPr>
        <w:t>预算相比</w:t>
      </w:r>
      <w:r>
        <w:rPr>
          <w:rFonts w:hint="eastAsia" w:ascii="仿宋" w:hAnsi="仿宋" w:eastAsia="仿宋" w:cs="仿宋"/>
          <w:color w:val="000000"/>
          <w:spacing w:val="13"/>
          <w:kern w:val="0"/>
          <w:sz w:val="32"/>
          <w:szCs w:val="32"/>
          <w:highlight w:val="none"/>
          <w:u w:val="none"/>
          <w:lang w:val="en-US" w:eastAsia="zh-CN"/>
        </w:rPr>
        <w:t>增加0.52</w:t>
      </w:r>
      <w:r>
        <w:rPr>
          <w:rFonts w:hint="eastAsia" w:ascii="仿宋" w:hAnsi="仿宋" w:eastAsia="仿宋" w:cs="仿宋"/>
          <w:color w:val="000000"/>
          <w:spacing w:val="13"/>
          <w:kern w:val="0"/>
          <w:sz w:val="32"/>
          <w:szCs w:val="32"/>
          <w:highlight w:val="none"/>
          <w:u w:val="none"/>
        </w:rPr>
        <w:t>万元</w:t>
      </w:r>
      <w:r>
        <w:rPr>
          <w:rFonts w:hint="eastAsia" w:ascii="仿宋" w:hAnsi="仿宋" w:eastAsia="仿宋" w:cs="仿宋"/>
          <w:color w:val="000000"/>
          <w:spacing w:val="13"/>
          <w:kern w:val="0"/>
          <w:sz w:val="32"/>
          <w:szCs w:val="32"/>
          <w:highlight w:val="none"/>
          <w:u w:val="none"/>
          <w:lang w:eastAsia="zh-CN"/>
        </w:rPr>
        <w:t>，</w:t>
      </w:r>
      <w:r>
        <w:rPr>
          <w:rFonts w:hint="eastAsia" w:ascii="仿宋" w:hAnsi="仿宋" w:eastAsia="仿宋" w:cs="仿宋"/>
          <w:color w:val="000000"/>
          <w:spacing w:val="13"/>
          <w:kern w:val="0"/>
          <w:sz w:val="32"/>
          <w:szCs w:val="32"/>
          <w:highlight w:val="none"/>
          <w:u w:val="none"/>
          <w:lang w:val="en-US" w:eastAsia="zh-CN"/>
        </w:rPr>
        <w:t>增长1.68%</w:t>
      </w:r>
      <w:r>
        <w:rPr>
          <w:rFonts w:hint="eastAsia" w:ascii="仿宋" w:hAnsi="仿宋" w:eastAsia="仿宋" w:cs="仿宋"/>
          <w:color w:val="000000"/>
          <w:spacing w:val="13"/>
          <w:kern w:val="0"/>
          <w:sz w:val="32"/>
          <w:szCs w:val="32"/>
          <w:highlight w:val="none"/>
          <w:u w:val="none"/>
        </w:rPr>
        <w:t>。其中：</w:t>
      </w:r>
    </w:p>
    <w:p w14:paraId="377BC38C">
      <w:pPr>
        <w:keepNext w:val="0"/>
        <w:keepLines w:val="0"/>
        <w:widowControl/>
        <w:suppressLineNumbers w:val="0"/>
        <w:spacing w:before="100" w:beforeAutospacing="1" w:after="100" w:afterAutospacing="1" w:line="360" w:lineRule="auto"/>
        <w:ind w:right="0" w:firstLine="692" w:firstLineChars="200"/>
        <w:jc w:val="both"/>
        <w:rPr>
          <w:rFonts w:hint="default" w:ascii="Times New Roman Regular" w:hAnsi="Times New Roman Regular" w:eastAsia="仿宋" w:cs="Times New Roman Regular"/>
          <w:snapToGrid/>
          <w:color w:val="000000"/>
          <w:kern w:val="2"/>
          <w:sz w:val="32"/>
          <w:szCs w:val="32"/>
          <w:lang w:val="en-US" w:eastAsia="zh-CN" w:bidi="ar-SA"/>
        </w:rPr>
      </w:pPr>
      <w:r>
        <w:rPr>
          <w:rFonts w:hint="eastAsia" w:ascii="仿宋" w:hAnsi="仿宋" w:eastAsia="仿宋" w:cs="仿宋"/>
          <w:color w:val="000000"/>
          <w:spacing w:val="13"/>
          <w:kern w:val="0"/>
          <w:sz w:val="32"/>
          <w:szCs w:val="32"/>
          <w:highlight w:val="none"/>
          <w:u w:val="none"/>
        </w:rPr>
        <w:t> 住房改革支出（款）住房公积金（项）</w:t>
      </w:r>
      <w:r>
        <w:rPr>
          <w:rFonts w:hint="eastAsia" w:ascii="仿宋" w:hAnsi="仿宋" w:eastAsia="仿宋" w:cs="仿宋"/>
          <w:color w:val="000000"/>
          <w:spacing w:val="13"/>
          <w:kern w:val="0"/>
          <w:sz w:val="32"/>
          <w:szCs w:val="32"/>
          <w:highlight w:val="none"/>
          <w:u w:val="none"/>
          <w:lang w:val="en-US" w:eastAsia="zh-CN"/>
        </w:rPr>
        <w:t>34.08万元</w:t>
      </w:r>
      <w:r>
        <w:rPr>
          <w:rFonts w:hint="eastAsia" w:ascii="仿宋" w:hAnsi="仿宋" w:eastAsia="仿宋" w:cs="仿宋"/>
          <w:color w:val="000000"/>
          <w:spacing w:val="13"/>
          <w:kern w:val="0"/>
          <w:sz w:val="32"/>
          <w:szCs w:val="32"/>
          <w:highlight w:val="none"/>
          <w:u w:val="none"/>
        </w:rPr>
        <w:t>。</w:t>
      </w:r>
      <w:r>
        <w:rPr>
          <w:rFonts w:hint="eastAsia" w:ascii="仿宋" w:hAnsi="仿宋" w:eastAsia="仿宋" w:cs="仿宋"/>
          <w:color w:val="000000"/>
          <w:spacing w:val="13"/>
          <w:kern w:val="0"/>
          <w:sz w:val="32"/>
          <w:szCs w:val="32"/>
          <w:highlight w:val="none"/>
          <w:u w:val="none"/>
          <w:lang w:val="en-US" w:eastAsia="zh-CN"/>
        </w:rPr>
        <w:t>用于中心职工公积金缴纳。比上年增加2.52万元，</w:t>
      </w:r>
      <w:r>
        <w:rPr>
          <w:rFonts w:hint="eastAsia" w:ascii="仿宋" w:hAnsi="仿宋" w:eastAsia="仿宋" w:cs="仿宋"/>
          <w:color w:val="000000"/>
          <w:spacing w:val="13"/>
          <w:kern w:val="0"/>
          <w:sz w:val="32"/>
          <w:szCs w:val="32"/>
          <w:u w:val="none"/>
          <w:lang w:val="en-US" w:eastAsia="zh-CN"/>
        </w:rPr>
        <w:t>原因为基数增加，缴纳额增加。</w:t>
      </w:r>
    </w:p>
    <w:p w14:paraId="1EDC754C">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六、一般公共预算基本支出预算情况说明</w:t>
      </w:r>
    </w:p>
    <w:p w14:paraId="5A80F83C">
      <w:pPr>
        <w:pStyle w:val="4"/>
        <w:spacing w:before="201" w:line="268" w:lineRule="auto"/>
        <w:ind w:firstLine="643"/>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年度一般公共预算 财政拨款基本支出预算</w:t>
      </w:r>
      <w:r>
        <w:rPr>
          <w:rFonts w:hint="eastAsia" w:ascii="Times New Roman Regular" w:hAnsi="Times New Roman Regular" w:eastAsia="仿宋" w:cs="Times New Roman Regular"/>
          <w:snapToGrid/>
          <w:color w:val="000000"/>
          <w:kern w:val="2"/>
          <w:sz w:val="32"/>
          <w:szCs w:val="32"/>
          <w:lang w:val="en-US" w:eastAsia="zh-CN" w:bidi="ar-SA"/>
        </w:rPr>
        <w:t>479.42</w:t>
      </w:r>
      <w:r>
        <w:rPr>
          <w:rFonts w:hint="default" w:ascii="Times New Roman Regular" w:hAnsi="Times New Roman Regular" w:eastAsia="仿宋" w:cs="Times New Roman Regular"/>
          <w:snapToGrid/>
          <w:color w:val="000000"/>
          <w:kern w:val="2"/>
          <w:sz w:val="32"/>
          <w:szCs w:val="32"/>
          <w:lang w:val="en-US" w:eastAsia="zh-CN" w:bidi="ar-SA"/>
        </w:rPr>
        <w:t>万元 ，其中：</w:t>
      </w:r>
    </w:p>
    <w:p w14:paraId="56A5BF80">
      <w:pPr>
        <w:pStyle w:val="4"/>
        <w:spacing w:before="201" w:line="268" w:lineRule="auto"/>
        <w:ind w:firstLine="643"/>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 — ) 人员经费</w:t>
      </w:r>
      <w:r>
        <w:rPr>
          <w:rFonts w:hint="eastAsia" w:ascii="Times New Roman Regular" w:hAnsi="Times New Roman Regular" w:eastAsia="仿宋" w:cs="Times New Roman Regular"/>
          <w:snapToGrid/>
          <w:color w:val="000000"/>
          <w:kern w:val="2"/>
          <w:sz w:val="32"/>
          <w:szCs w:val="32"/>
          <w:lang w:val="en-US" w:eastAsia="zh-CN" w:bidi="ar-SA"/>
        </w:rPr>
        <w:t>446.16</w:t>
      </w:r>
      <w:r>
        <w:rPr>
          <w:rFonts w:hint="default" w:ascii="Times New Roman Regular" w:hAnsi="Times New Roman Regular" w:eastAsia="仿宋" w:cs="Times New Roman Regular"/>
          <w:snapToGrid/>
          <w:color w:val="000000"/>
          <w:kern w:val="2"/>
          <w:sz w:val="32"/>
          <w:szCs w:val="32"/>
          <w:lang w:val="en-US" w:eastAsia="zh-CN" w:bidi="ar-SA"/>
        </w:rPr>
        <w:t>万元。主要包括：基本工资</w:t>
      </w:r>
      <w:r>
        <w:rPr>
          <w:rFonts w:hint="eastAsia" w:ascii="Times New Roman Regular" w:hAnsi="Times New Roman Regular" w:eastAsia="仿宋" w:cs="Times New Roman Regular"/>
          <w:snapToGrid/>
          <w:color w:val="000000"/>
          <w:kern w:val="2"/>
          <w:sz w:val="32"/>
          <w:szCs w:val="32"/>
          <w:lang w:val="en-US" w:eastAsia="zh-CN" w:bidi="ar-SA"/>
        </w:rPr>
        <w:t>110.29</w:t>
      </w:r>
      <w:r>
        <w:rPr>
          <w:rFonts w:hint="default" w:ascii="Times New Roman Regular" w:hAnsi="Times New Roman Regular" w:eastAsia="仿宋" w:cs="Times New Roman Regular"/>
          <w:snapToGrid/>
          <w:color w:val="000000"/>
          <w:kern w:val="2"/>
          <w:sz w:val="32"/>
          <w:szCs w:val="32"/>
          <w:lang w:val="en-US" w:eastAsia="zh-CN" w:bidi="ar-SA"/>
        </w:rPr>
        <w:t>万元、津贴补贴</w:t>
      </w:r>
      <w:r>
        <w:rPr>
          <w:rFonts w:hint="eastAsia" w:ascii="Times New Roman Regular" w:hAnsi="Times New Roman Regular" w:eastAsia="仿宋" w:cs="Times New Roman Regular"/>
          <w:snapToGrid/>
          <w:color w:val="000000"/>
          <w:kern w:val="2"/>
          <w:sz w:val="32"/>
          <w:szCs w:val="32"/>
          <w:lang w:val="en-US" w:eastAsia="zh-CN" w:bidi="ar-SA"/>
        </w:rPr>
        <w:t>92.22</w:t>
      </w:r>
      <w:r>
        <w:rPr>
          <w:rFonts w:hint="default" w:ascii="Times New Roman Regular" w:hAnsi="Times New Roman Regular" w:eastAsia="仿宋" w:cs="Times New Roman Regular"/>
          <w:snapToGrid/>
          <w:color w:val="000000"/>
          <w:kern w:val="2"/>
          <w:sz w:val="32"/>
          <w:szCs w:val="32"/>
          <w:lang w:val="en-US" w:eastAsia="zh-CN" w:bidi="ar-SA"/>
        </w:rPr>
        <w:t>万元、奖金</w:t>
      </w:r>
      <w:r>
        <w:rPr>
          <w:rFonts w:hint="eastAsia" w:ascii="Times New Roman Regular" w:hAnsi="Times New Roman Regular" w:eastAsia="仿宋" w:cs="Times New Roman Regular"/>
          <w:snapToGrid/>
          <w:color w:val="000000"/>
          <w:kern w:val="2"/>
          <w:sz w:val="32"/>
          <w:szCs w:val="32"/>
          <w:lang w:val="en-US" w:eastAsia="zh-CN" w:bidi="ar-SA"/>
        </w:rPr>
        <w:t>22.52</w:t>
      </w:r>
      <w:r>
        <w:rPr>
          <w:rFonts w:hint="default" w:ascii="Times New Roman Regular" w:hAnsi="Times New Roman Regular" w:eastAsia="仿宋" w:cs="Times New Roman Regular"/>
          <w:snapToGrid/>
          <w:color w:val="000000"/>
          <w:kern w:val="2"/>
          <w:sz w:val="32"/>
          <w:szCs w:val="32"/>
          <w:lang w:val="en-US" w:eastAsia="zh-CN" w:bidi="ar-SA"/>
        </w:rPr>
        <w:t>万元、绩效工资</w:t>
      </w:r>
      <w:r>
        <w:rPr>
          <w:rFonts w:hint="eastAsia" w:ascii="Times New Roman Regular" w:hAnsi="Times New Roman Regular" w:eastAsia="仿宋" w:cs="Times New Roman Regular"/>
          <w:snapToGrid/>
          <w:color w:val="000000"/>
          <w:kern w:val="2"/>
          <w:sz w:val="32"/>
          <w:szCs w:val="32"/>
          <w:lang w:val="en-US" w:eastAsia="zh-CN" w:bidi="ar-SA"/>
        </w:rPr>
        <w:t>41.63</w:t>
      </w:r>
      <w:r>
        <w:rPr>
          <w:rFonts w:hint="default" w:ascii="Times New Roman Regular" w:hAnsi="Times New Roman Regular" w:eastAsia="仿宋" w:cs="Times New Roman Regular"/>
          <w:snapToGrid/>
          <w:color w:val="000000"/>
          <w:kern w:val="2"/>
          <w:sz w:val="32"/>
          <w:szCs w:val="32"/>
          <w:lang w:val="en-US" w:eastAsia="zh-CN" w:bidi="ar-SA"/>
        </w:rPr>
        <w:t>万元、机关事业单位基本养老保险缴费</w:t>
      </w:r>
      <w:r>
        <w:rPr>
          <w:rFonts w:hint="eastAsia" w:ascii="Times New Roman Regular" w:hAnsi="Times New Roman Regular" w:eastAsia="仿宋" w:cs="Times New Roman Regular"/>
          <w:snapToGrid/>
          <w:color w:val="000000"/>
          <w:kern w:val="2"/>
          <w:sz w:val="32"/>
          <w:szCs w:val="32"/>
          <w:lang w:val="en-US" w:eastAsia="zh-CN" w:bidi="ar-SA"/>
        </w:rPr>
        <w:t>35.76、</w:t>
      </w:r>
      <w:r>
        <w:rPr>
          <w:rFonts w:hint="default" w:ascii="Times New Roman Regular" w:hAnsi="Times New Roman Regular" w:eastAsia="仿宋" w:cs="Times New Roman Regular"/>
          <w:snapToGrid/>
          <w:color w:val="000000"/>
          <w:kern w:val="2"/>
          <w:sz w:val="32"/>
          <w:szCs w:val="32"/>
          <w:lang w:val="en-US" w:eastAsia="zh-CN" w:bidi="ar-SA"/>
        </w:rPr>
        <w:t>职业年金缴费</w:t>
      </w:r>
      <w:r>
        <w:rPr>
          <w:rFonts w:hint="eastAsia" w:ascii="Times New Roman Regular" w:hAnsi="Times New Roman Regular" w:eastAsia="仿宋" w:cs="Times New Roman Regular"/>
          <w:snapToGrid/>
          <w:color w:val="000000"/>
          <w:kern w:val="2"/>
          <w:sz w:val="32"/>
          <w:szCs w:val="32"/>
          <w:lang w:val="en-US" w:eastAsia="zh-CN" w:bidi="ar-SA"/>
        </w:rPr>
        <w:t>17.88、</w:t>
      </w:r>
      <w:r>
        <w:rPr>
          <w:rFonts w:hint="default" w:ascii="Times New Roman Regular" w:hAnsi="Times New Roman Regular" w:eastAsia="仿宋" w:cs="Times New Roman Regular"/>
          <w:snapToGrid/>
          <w:color w:val="000000"/>
          <w:kern w:val="2"/>
          <w:sz w:val="32"/>
          <w:szCs w:val="32"/>
          <w:lang w:val="en-US" w:eastAsia="zh-CN" w:bidi="ar-SA"/>
        </w:rPr>
        <w:t>住房公积金</w:t>
      </w:r>
      <w:r>
        <w:rPr>
          <w:rFonts w:hint="eastAsia" w:ascii="Times New Roman Regular" w:hAnsi="Times New Roman Regular" w:eastAsia="仿宋" w:cs="Times New Roman Regular"/>
          <w:snapToGrid/>
          <w:color w:val="000000"/>
          <w:kern w:val="2"/>
          <w:sz w:val="32"/>
          <w:szCs w:val="32"/>
          <w:lang w:val="en-US" w:eastAsia="zh-CN" w:bidi="ar-SA"/>
        </w:rPr>
        <w:t>34.08</w:t>
      </w:r>
      <w:r>
        <w:rPr>
          <w:rFonts w:hint="default" w:ascii="Times New Roman Regular" w:hAnsi="Times New Roman Regular" w:eastAsia="仿宋" w:cs="Times New Roman Regular"/>
          <w:snapToGrid/>
          <w:color w:val="000000"/>
          <w:kern w:val="2"/>
          <w:sz w:val="32"/>
          <w:szCs w:val="32"/>
          <w:lang w:val="en-US" w:eastAsia="zh-CN" w:bidi="ar-SA"/>
        </w:rPr>
        <w:t>万元、职工基本医疗保险缴费</w:t>
      </w:r>
      <w:r>
        <w:rPr>
          <w:rFonts w:hint="eastAsia" w:ascii="Times New Roman Regular" w:hAnsi="Times New Roman Regular" w:eastAsia="仿宋" w:cs="Times New Roman Regular"/>
          <w:snapToGrid/>
          <w:color w:val="000000"/>
          <w:kern w:val="2"/>
          <w:sz w:val="32"/>
          <w:szCs w:val="32"/>
          <w:lang w:val="en-US" w:eastAsia="zh-CN" w:bidi="ar-SA"/>
        </w:rPr>
        <w:t>13.61</w:t>
      </w:r>
      <w:r>
        <w:rPr>
          <w:rFonts w:hint="default" w:ascii="Times New Roman Regular" w:hAnsi="Times New Roman Regular" w:eastAsia="仿宋" w:cs="Times New Roman Regular"/>
          <w:snapToGrid/>
          <w:color w:val="000000"/>
          <w:kern w:val="2"/>
          <w:sz w:val="32"/>
          <w:szCs w:val="32"/>
          <w:lang w:val="en-US" w:eastAsia="zh-CN" w:bidi="ar-SA"/>
        </w:rPr>
        <w:t>万元、公务员医疗补助缴费</w:t>
      </w:r>
      <w:r>
        <w:rPr>
          <w:rFonts w:hint="eastAsia" w:ascii="Times New Roman Regular" w:hAnsi="Times New Roman Regular" w:eastAsia="仿宋" w:cs="Times New Roman Regular"/>
          <w:snapToGrid/>
          <w:color w:val="000000"/>
          <w:kern w:val="2"/>
          <w:sz w:val="32"/>
          <w:szCs w:val="32"/>
          <w:lang w:val="en-US" w:eastAsia="zh-CN" w:bidi="ar-SA"/>
        </w:rPr>
        <w:t>4.68</w:t>
      </w:r>
      <w:r>
        <w:rPr>
          <w:rFonts w:hint="default" w:ascii="Times New Roman Regular" w:hAnsi="Times New Roman Regular" w:eastAsia="仿宋" w:cs="Times New Roman Regular"/>
          <w:snapToGrid/>
          <w:color w:val="000000"/>
          <w:kern w:val="2"/>
          <w:sz w:val="32"/>
          <w:szCs w:val="32"/>
          <w:lang w:val="en-US" w:eastAsia="zh-CN" w:bidi="ar-SA"/>
        </w:rPr>
        <w:t>万元</w:t>
      </w:r>
      <w:r>
        <w:rPr>
          <w:rFonts w:hint="eastAsia" w:ascii="Times New Roman Regular" w:hAnsi="Times New Roman Regular" w:eastAsia="仿宋" w:cs="Times New Roman Regular"/>
          <w:snapToGrid/>
          <w:color w:val="000000"/>
          <w:kern w:val="2"/>
          <w:sz w:val="32"/>
          <w:szCs w:val="32"/>
          <w:lang w:val="en-US" w:eastAsia="zh-CN" w:bidi="ar-SA"/>
        </w:rPr>
        <w:t>、其他社会保障缴费1.56万元、</w:t>
      </w:r>
      <w:r>
        <w:rPr>
          <w:rFonts w:hint="default" w:ascii="Times New Roman Regular" w:hAnsi="Times New Roman Regular" w:eastAsia="仿宋" w:cs="Times New Roman Regular"/>
          <w:snapToGrid/>
          <w:color w:val="000000"/>
          <w:kern w:val="2"/>
          <w:sz w:val="32"/>
          <w:szCs w:val="32"/>
          <w:lang w:val="en-US" w:eastAsia="zh-CN" w:bidi="ar-SA"/>
        </w:rPr>
        <w:t>其他工资福利支出</w:t>
      </w:r>
      <w:r>
        <w:rPr>
          <w:rFonts w:hint="eastAsia" w:ascii="Times New Roman Regular" w:hAnsi="Times New Roman Regular" w:eastAsia="仿宋" w:cs="Times New Roman Regular"/>
          <w:snapToGrid/>
          <w:color w:val="000000"/>
          <w:kern w:val="2"/>
          <w:sz w:val="32"/>
          <w:szCs w:val="32"/>
          <w:lang w:val="en-US" w:eastAsia="zh-CN" w:bidi="ar-SA"/>
        </w:rPr>
        <w:t>61.72万元、退休费5.67万元</w:t>
      </w:r>
      <w:r>
        <w:rPr>
          <w:rFonts w:hint="default" w:ascii="Times New Roman Regular" w:hAnsi="Times New Roman Regular" w:eastAsia="仿宋" w:cs="Times New Roman Regular"/>
          <w:snapToGrid/>
          <w:color w:val="000000"/>
          <w:kern w:val="2"/>
          <w:sz w:val="32"/>
          <w:szCs w:val="32"/>
          <w:lang w:val="en-US" w:eastAsia="zh-CN" w:bidi="ar-SA"/>
        </w:rPr>
        <w:t>。</w:t>
      </w:r>
    </w:p>
    <w:p w14:paraId="39B048A8">
      <w:pPr>
        <w:pStyle w:val="4"/>
        <w:spacing w:before="201" w:line="268" w:lineRule="auto"/>
        <w:ind w:firstLine="643"/>
        <w:rPr>
          <w:rFonts w:ascii="微软雅黑" w:hAnsi="微软雅黑" w:eastAsia="微软雅黑" w:cs="微软雅黑"/>
          <w:sz w:val="31"/>
          <w:szCs w:val="31"/>
        </w:rPr>
      </w:pPr>
      <w:r>
        <w:rPr>
          <w:rFonts w:hint="default" w:ascii="Times New Roman Regular" w:hAnsi="Times New Roman Regular" w:eastAsia="仿宋" w:cs="Times New Roman Regular"/>
          <w:snapToGrid/>
          <w:color w:val="000000"/>
          <w:kern w:val="2"/>
          <w:sz w:val="32"/>
          <w:szCs w:val="32"/>
          <w:lang w:val="en-US" w:eastAsia="zh-CN" w:bidi="ar-SA"/>
        </w:rPr>
        <w:t>(二) 公用经费</w:t>
      </w:r>
      <w:r>
        <w:rPr>
          <w:rFonts w:hint="eastAsia" w:ascii="Times New Roman Regular" w:hAnsi="Times New Roman Regular" w:eastAsia="仿宋" w:cs="Times New Roman Regular"/>
          <w:snapToGrid/>
          <w:color w:val="000000"/>
          <w:kern w:val="2"/>
          <w:sz w:val="32"/>
          <w:szCs w:val="32"/>
          <w:lang w:val="en-US" w:eastAsia="zh-CN" w:bidi="ar-SA"/>
        </w:rPr>
        <w:t>33.26</w:t>
      </w:r>
      <w:r>
        <w:rPr>
          <w:rFonts w:hint="default" w:ascii="Times New Roman Regular" w:hAnsi="Times New Roman Regular" w:eastAsia="仿宋" w:cs="Times New Roman Regular"/>
          <w:snapToGrid/>
          <w:color w:val="000000"/>
          <w:kern w:val="2"/>
          <w:sz w:val="32"/>
          <w:szCs w:val="32"/>
          <w:lang w:val="en-US" w:eastAsia="zh-CN" w:bidi="ar-SA"/>
        </w:rPr>
        <w:t>万元。主要包括：办公费</w:t>
      </w:r>
      <w:r>
        <w:rPr>
          <w:rFonts w:hint="eastAsia" w:ascii="Times New Roman Regular" w:hAnsi="Times New Roman Regular" w:eastAsia="仿宋" w:cs="Times New Roman Regular"/>
          <w:snapToGrid/>
          <w:color w:val="000000"/>
          <w:kern w:val="2"/>
          <w:sz w:val="32"/>
          <w:szCs w:val="32"/>
          <w:lang w:val="en-US" w:eastAsia="zh-CN" w:bidi="ar-SA"/>
        </w:rPr>
        <w:t>2.69万元</w:t>
      </w:r>
      <w:r>
        <w:rPr>
          <w:rFonts w:hint="default" w:ascii="Times New Roman Regular" w:hAnsi="Times New Roman Regular" w:eastAsia="仿宋" w:cs="Times New Roman Regular"/>
          <w:snapToGrid/>
          <w:color w:val="000000"/>
          <w:kern w:val="2"/>
          <w:sz w:val="32"/>
          <w:szCs w:val="32"/>
          <w:lang w:val="en-US" w:eastAsia="zh-CN" w:bidi="ar-SA"/>
        </w:rPr>
        <w:t xml:space="preserve"> 、差旅费</w:t>
      </w:r>
      <w:r>
        <w:rPr>
          <w:rFonts w:hint="eastAsia" w:ascii="Times New Roman Regular" w:hAnsi="Times New Roman Regular" w:eastAsia="仿宋" w:cs="Times New Roman Regular"/>
          <w:snapToGrid/>
          <w:color w:val="000000"/>
          <w:kern w:val="2"/>
          <w:sz w:val="32"/>
          <w:szCs w:val="32"/>
          <w:lang w:val="en-US" w:eastAsia="zh-CN" w:bidi="ar-SA"/>
        </w:rPr>
        <w:t>2.50万元</w:t>
      </w:r>
      <w:r>
        <w:rPr>
          <w:rFonts w:hint="default" w:ascii="Times New Roman Regular" w:hAnsi="Times New Roman Regular" w:eastAsia="仿宋" w:cs="Times New Roman Regular"/>
          <w:snapToGrid/>
          <w:color w:val="000000"/>
          <w:kern w:val="2"/>
          <w:sz w:val="32"/>
          <w:szCs w:val="32"/>
          <w:lang w:val="en-US" w:eastAsia="zh-CN" w:bidi="ar-SA"/>
        </w:rPr>
        <w:t>、公务接待费</w:t>
      </w:r>
      <w:r>
        <w:rPr>
          <w:rFonts w:hint="eastAsia" w:ascii="Times New Roman Regular" w:hAnsi="Times New Roman Regular" w:eastAsia="仿宋" w:cs="Times New Roman Regular"/>
          <w:snapToGrid/>
          <w:color w:val="000000"/>
          <w:kern w:val="2"/>
          <w:sz w:val="32"/>
          <w:szCs w:val="32"/>
          <w:lang w:val="en-US" w:eastAsia="zh-CN" w:bidi="ar-SA"/>
        </w:rPr>
        <w:t>0.12万元</w:t>
      </w:r>
      <w:r>
        <w:rPr>
          <w:rFonts w:hint="default" w:ascii="Times New Roman Regular" w:hAnsi="Times New Roman Regular" w:eastAsia="仿宋" w:cs="Times New Roman Regular"/>
          <w:snapToGrid/>
          <w:color w:val="000000"/>
          <w:kern w:val="2"/>
          <w:sz w:val="32"/>
          <w:szCs w:val="32"/>
          <w:lang w:val="en-US" w:eastAsia="zh-CN" w:bidi="ar-SA"/>
        </w:rPr>
        <w:t>、工会经费</w:t>
      </w:r>
      <w:r>
        <w:rPr>
          <w:rFonts w:hint="eastAsia" w:ascii="Times New Roman Regular" w:hAnsi="Times New Roman Regular" w:eastAsia="仿宋" w:cs="Times New Roman Regular"/>
          <w:snapToGrid/>
          <w:color w:val="000000"/>
          <w:kern w:val="2"/>
          <w:sz w:val="32"/>
          <w:szCs w:val="32"/>
          <w:lang w:val="en-US" w:eastAsia="zh-CN" w:bidi="ar-SA"/>
        </w:rPr>
        <w:t>3.41万元</w:t>
      </w:r>
      <w:r>
        <w:rPr>
          <w:rFonts w:hint="default" w:ascii="Times New Roman Regular" w:hAnsi="Times New Roman Regular" w:eastAsia="仿宋" w:cs="Times New Roman Regular"/>
          <w:snapToGrid/>
          <w:color w:val="000000"/>
          <w:kern w:val="2"/>
          <w:sz w:val="32"/>
          <w:szCs w:val="32"/>
          <w:lang w:val="en-US" w:eastAsia="zh-CN" w:bidi="ar-SA"/>
        </w:rPr>
        <w:t>、公务用车运行维护费</w:t>
      </w:r>
      <w:r>
        <w:rPr>
          <w:rFonts w:hint="eastAsia" w:ascii="Times New Roman Regular" w:hAnsi="Times New Roman Regular" w:eastAsia="仿宋" w:cs="Times New Roman Regular"/>
          <w:snapToGrid/>
          <w:color w:val="000000"/>
          <w:kern w:val="2"/>
          <w:sz w:val="32"/>
          <w:szCs w:val="32"/>
          <w:lang w:val="en-US" w:eastAsia="zh-CN" w:bidi="ar-SA"/>
        </w:rPr>
        <w:t>2.50万元</w:t>
      </w:r>
      <w:r>
        <w:rPr>
          <w:rFonts w:hint="default" w:ascii="Times New Roman Regular" w:hAnsi="Times New Roman Regular" w:eastAsia="仿宋" w:cs="Times New Roman Regular"/>
          <w:snapToGrid/>
          <w:color w:val="000000"/>
          <w:kern w:val="2"/>
          <w:sz w:val="32"/>
          <w:szCs w:val="32"/>
          <w:lang w:val="en-US" w:eastAsia="zh-CN" w:bidi="ar-SA"/>
        </w:rPr>
        <w:t>、其他交通费用</w:t>
      </w:r>
      <w:r>
        <w:rPr>
          <w:rFonts w:hint="eastAsia" w:ascii="Times New Roman Regular" w:hAnsi="Times New Roman Regular" w:eastAsia="仿宋" w:cs="Times New Roman Regular"/>
          <w:snapToGrid/>
          <w:color w:val="000000"/>
          <w:kern w:val="2"/>
          <w:sz w:val="32"/>
          <w:szCs w:val="32"/>
          <w:lang w:val="en-US" w:eastAsia="zh-CN" w:bidi="ar-SA"/>
        </w:rPr>
        <w:t>13.80万元</w:t>
      </w:r>
      <w:r>
        <w:rPr>
          <w:rFonts w:hint="default" w:ascii="Times New Roman Regular" w:hAnsi="Times New Roman Regular" w:eastAsia="仿宋" w:cs="Times New Roman Regular"/>
          <w:snapToGrid/>
          <w:color w:val="000000"/>
          <w:kern w:val="2"/>
          <w:sz w:val="32"/>
          <w:szCs w:val="32"/>
          <w:lang w:val="en-US" w:eastAsia="zh-CN" w:bidi="ar-SA"/>
        </w:rPr>
        <w:t>、其他商品和服务支出</w:t>
      </w:r>
      <w:r>
        <w:rPr>
          <w:rFonts w:hint="eastAsia" w:ascii="Times New Roman Regular" w:hAnsi="Times New Roman Regular" w:eastAsia="仿宋" w:cs="Times New Roman Regular"/>
          <w:snapToGrid/>
          <w:color w:val="000000"/>
          <w:kern w:val="2"/>
          <w:sz w:val="32"/>
          <w:szCs w:val="32"/>
          <w:lang w:val="en-US" w:eastAsia="zh-CN" w:bidi="ar-SA"/>
        </w:rPr>
        <w:t>7.11万元、办公设备购置1.13万元</w:t>
      </w:r>
      <w:r>
        <w:rPr>
          <w:rFonts w:hint="default" w:ascii="Times New Roman Regular" w:hAnsi="Times New Roman Regular" w:eastAsia="仿宋" w:cs="Times New Roman Regular"/>
          <w:snapToGrid/>
          <w:color w:val="000000"/>
          <w:kern w:val="2"/>
          <w:sz w:val="32"/>
          <w:szCs w:val="32"/>
          <w:lang w:val="en-US" w:eastAsia="zh-CN" w:bidi="ar-SA"/>
        </w:rPr>
        <w:t>。</w:t>
      </w:r>
    </w:p>
    <w:p w14:paraId="185FE20D">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七、一般公共预算“三公”经费支出预算情况说明</w:t>
      </w:r>
    </w:p>
    <w:p w14:paraId="4C405CC5">
      <w:pPr>
        <w:pStyle w:val="4"/>
        <w:tabs>
          <w:tab w:val="left" w:pos="2671"/>
          <w:tab w:val="left" w:pos="5000"/>
          <w:tab w:val="left" w:pos="6190"/>
        </w:tabs>
        <w:spacing w:after="0" w:afterLines="0" w:line="600" w:lineRule="exact"/>
        <w:ind w:firstLine="640" w:firstLineChars="200"/>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鄂尔多斯市 120 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年度一般公共预算拨款安排的“三公”经费预算支出</w:t>
      </w:r>
      <w:r>
        <w:rPr>
          <w:rFonts w:hint="eastAsia" w:ascii="Times New Roman Regular" w:hAnsi="Times New Roman Regular" w:eastAsia="仿宋" w:cs="Times New Roman Regular"/>
          <w:snapToGrid/>
          <w:color w:val="000000"/>
          <w:kern w:val="2"/>
          <w:sz w:val="32"/>
          <w:szCs w:val="32"/>
          <w:lang w:val="en-US" w:eastAsia="zh-CN" w:bidi="ar-SA"/>
        </w:rPr>
        <w:t>97.36</w:t>
      </w:r>
      <w:r>
        <w:rPr>
          <w:rFonts w:hint="default" w:ascii="Times New Roman Regular" w:hAnsi="Times New Roman Regular" w:eastAsia="仿宋" w:cs="Times New Roman Regular"/>
          <w:snapToGrid/>
          <w:color w:val="000000"/>
          <w:kern w:val="2"/>
          <w:sz w:val="32"/>
          <w:szCs w:val="32"/>
          <w:lang w:val="en-US" w:eastAsia="zh-CN" w:bidi="ar-SA"/>
        </w:rPr>
        <w:t>万元，其中因公出国（境）费支出</w:t>
      </w:r>
      <w:r>
        <w:rPr>
          <w:rFonts w:hint="eastAsia" w:ascii="Times New Roman Regular" w:hAnsi="Times New Roman Regular" w:eastAsia="仿宋" w:cs="Times New Roman Regular"/>
          <w:snapToGrid/>
          <w:color w:val="000000"/>
          <w:kern w:val="2"/>
          <w:sz w:val="32"/>
          <w:szCs w:val="32"/>
          <w:lang w:val="en-US" w:eastAsia="zh-CN" w:bidi="ar-SA"/>
        </w:rPr>
        <w:t>0</w:t>
      </w:r>
      <w:r>
        <w:rPr>
          <w:rFonts w:hint="default" w:ascii="Times New Roman Regular" w:hAnsi="Times New Roman Regular" w:eastAsia="仿宋" w:cs="Times New Roman Regular"/>
          <w:snapToGrid/>
          <w:color w:val="000000"/>
          <w:kern w:val="2"/>
          <w:sz w:val="32"/>
          <w:szCs w:val="32"/>
          <w:lang w:val="en-US" w:eastAsia="zh-CN" w:bidi="ar-SA"/>
        </w:rPr>
        <w:t>万元，占</w:t>
      </w:r>
      <w:r>
        <w:rPr>
          <w:rFonts w:hint="eastAsia" w:ascii="Times New Roman Regular" w:hAnsi="Times New Roman Regular" w:eastAsia="仿宋" w:cs="Times New Roman Regular"/>
          <w:snapToGrid/>
          <w:color w:val="000000"/>
          <w:kern w:val="2"/>
          <w:sz w:val="32"/>
          <w:szCs w:val="32"/>
          <w:lang w:val="en-US" w:eastAsia="zh-CN" w:bidi="ar-SA"/>
        </w:rPr>
        <w:t>0</w:t>
      </w:r>
      <w:r>
        <w:rPr>
          <w:rFonts w:hint="default" w:ascii="Times New Roman Regular" w:hAnsi="Times New Roman Regular" w:eastAsia="仿宋" w:cs="Times New Roman Regular"/>
          <w:snapToGrid/>
          <w:color w:val="000000"/>
          <w:kern w:val="2"/>
          <w:sz w:val="32"/>
          <w:szCs w:val="32"/>
          <w:lang w:val="en-US" w:eastAsia="zh-CN" w:bidi="ar-SA"/>
        </w:rPr>
        <w:t xml:space="preserve"> </w:t>
      </w:r>
      <w:r>
        <w:rPr>
          <w:rFonts w:hint="eastAsia" w:ascii="Times New Roman Regular" w:hAnsi="Times New Roman Regular" w:eastAsia="仿宋" w:cs="Times New Roman Regular"/>
          <w:snapToGrid/>
          <w:color w:val="000000"/>
          <w:kern w:val="2"/>
          <w:sz w:val="32"/>
          <w:szCs w:val="32"/>
          <w:lang w:val="en-US" w:eastAsia="zh-CN" w:bidi="ar-SA"/>
        </w:rPr>
        <w:t>%</w:t>
      </w:r>
      <w:r>
        <w:rPr>
          <w:rFonts w:hint="default" w:ascii="Times New Roman Regular" w:hAnsi="Times New Roman Regular" w:eastAsia="仿宋" w:cs="Times New Roman Regular"/>
          <w:snapToGrid/>
          <w:color w:val="000000"/>
          <w:kern w:val="2"/>
          <w:sz w:val="32"/>
          <w:szCs w:val="32"/>
          <w:lang w:val="en-US" w:eastAsia="zh-CN" w:bidi="ar-SA"/>
        </w:rPr>
        <w:t>；</w:t>
      </w:r>
      <w:r>
        <w:rPr>
          <w:rFonts w:hint="eastAsia" w:ascii="Times New Roman Regular" w:hAnsi="Times New Roman Regular" w:eastAsia="仿宋" w:cs="Times New Roman Regular"/>
          <w:snapToGrid/>
          <w:color w:val="000000"/>
          <w:kern w:val="2"/>
          <w:sz w:val="32"/>
          <w:szCs w:val="32"/>
          <w:lang w:val="en-US" w:eastAsia="zh-CN" w:bidi="ar-SA"/>
        </w:rPr>
        <w:t>公务用车购置费94.74、，占97.31%，</w:t>
      </w:r>
      <w:r>
        <w:rPr>
          <w:rFonts w:hint="default" w:ascii="Times New Roman Regular" w:hAnsi="Times New Roman Regular" w:eastAsia="仿宋" w:cs="Times New Roman Regular"/>
          <w:snapToGrid/>
          <w:color w:val="000000"/>
          <w:kern w:val="2"/>
          <w:sz w:val="32"/>
          <w:szCs w:val="32"/>
          <w:lang w:val="en-US" w:eastAsia="zh-CN" w:bidi="ar-SA"/>
        </w:rPr>
        <w:t>公务用车购置及运行维护费支出</w:t>
      </w:r>
      <w:r>
        <w:rPr>
          <w:rFonts w:hint="eastAsia" w:ascii="Times New Roman Regular" w:hAnsi="Times New Roman Regular" w:eastAsia="仿宋" w:cs="Times New Roman Regular"/>
          <w:snapToGrid/>
          <w:color w:val="000000"/>
          <w:kern w:val="2"/>
          <w:sz w:val="32"/>
          <w:szCs w:val="32"/>
          <w:lang w:val="en-US" w:eastAsia="zh-CN" w:bidi="ar-SA"/>
        </w:rPr>
        <w:t>2.50</w:t>
      </w:r>
      <w:r>
        <w:rPr>
          <w:rFonts w:hint="default" w:ascii="Times New Roman Regular" w:hAnsi="Times New Roman Regular" w:eastAsia="仿宋" w:cs="Times New Roman Regular"/>
          <w:snapToGrid/>
          <w:color w:val="000000"/>
          <w:kern w:val="2"/>
          <w:sz w:val="32"/>
          <w:szCs w:val="32"/>
          <w:lang w:val="en-US" w:eastAsia="zh-CN" w:bidi="ar-SA"/>
        </w:rPr>
        <w:t>万元，占</w:t>
      </w:r>
      <w:r>
        <w:rPr>
          <w:rFonts w:hint="eastAsia" w:ascii="Times New Roman Regular" w:hAnsi="Times New Roman Regular" w:eastAsia="仿宋" w:cs="Times New Roman Regular"/>
          <w:snapToGrid/>
          <w:color w:val="000000"/>
          <w:kern w:val="2"/>
          <w:sz w:val="32"/>
          <w:szCs w:val="32"/>
          <w:lang w:val="en-US" w:eastAsia="zh-CN" w:bidi="ar-SA"/>
        </w:rPr>
        <w:t>2.57%</w:t>
      </w:r>
      <w:r>
        <w:rPr>
          <w:rFonts w:hint="default" w:ascii="Times New Roman Regular" w:hAnsi="Times New Roman Regular" w:eastAsia="仿宋" w:cs="Times New Roman Regular"/>
          <w:snapToGrid/>
          <w:color w:val="000000"/>
          <w:kern w:val="2"/>
          <w:sz w:val="32"/>
          <w:szCs w:val="32"/>
          <w:lang w:val="en-US" w:eastAsia="zh-CN" w:bidi="ar-SA"/>
        </w:rPr>
        <w:t>；公务接待费支出</w:t>
      </w:r>
      <w:r>
        <w:rPr>
          <w:rFonts w:hint="eastAsia" w:ascii="Times New Roman Regular" w:hAnsi="Times New Roman Regular" w:eastAsia="仿宋" w:cs="Times New Roman Regular"/>
          <w:snapToGrid/>
          <w:color w:val="000000"/>
          <w:kern w:val="2"/>
          <w:sz w:val="32"/>
          <w:szCs w:val="32"/>
          <w:lang w:val="en-US" w:eastAsia="zh-CN" w:bidi="ar-SA"/>
        </w:rPr>
        <w:t>0.12</w:t>
      </w:r>
      <w:r>
        <w:rPr>
          <w:rFonts w:hint="default" w:ascii="Times New Roman Regular" w:hAnsi="Times New Roman Regular" w:eastAsia="仿宋" w:cs="Times New Roman Regular"/>
          <w:snapToGrid/>
          <w:color w:val="000000"/>
          <w:kern w:val="2"/>
          <w:sz w:val="32"/>
          <w:szCs w:val="32"/>
          <w:lang w:val="en-US" w:eastAsia="zh-CN" w:bidi="ar-SA"/>
        </w:rPr>
        <w:t>万元，占</w:t>
      </w:r>
      <w:r>
        <w:rPr>
          <w:rFonts w:hint="eastAsia" w:ascii="Times New Roman Regular" w:hAnsi="Times New Roman Regular" w:eastAsia="仿宋" w:cs="Times New Roman Regular"/>
          <w:snapToGrid/>
          <w:color w:val="000000"/>
          <w:kern w:val="2"/>
          <w:sz w:val="32"/>
          <w:szCs w:val="32"/>
          <w:lang w:val="en-US" w:eastAsia="zh-CN" w:bidi="ar-SA"/>
        </w:rPr>
        <w:t>0.12</w:t>
      </w:r>
      <w:r>
        <w:rPr>
          <w:rFonts w:hint="default" w:ascii="Times New Roman Regular" w:hAnsi="Times New Roman Regular" w:eastAsia="仿宋" w:cs="Times New Roman Regular"/>
          <w:snapToGrid/>
          <w:color w:val="000000"/>
          <w:kern w:val="2"/>
          <w:sz w:val="32"/>
          <w:szCs w:val="32"/>
          <w:lang w:val="en-US" w:eastAsia="zh-CN" w:bidi="ar-SA"/>
        </w:rPr>
        <w:t xml:space="preserve"> </w:t>
      </w:r>
      <w:r>
        <w:rPr>
          <w:rFonts w:hint="eastAsia" w:ascii="Times New Roman Regular" w:hAnsi="Times New Roman Regular" w:eastAsia="仿宋" w:cs="Times New Roman Regular"/>
          <w:snapToGrid/>
          <w:color w:val="000000"/>
          <w:kern w:val="2"/>
          <w:sz w:val="32"/>
          <w:szCs w:val="32"/>
          <w:lang w:val="en-US" w:eastAsia="zh-CN" w:bidi="ar-SA"/>
        </w:rPr>
        <w:t>%，</w:t>
      </w:r>
      <w:r>
        <w:rPr>
          <w:rFonts w:hint="default" w:ascii="Times New Roman Regular" w:hAnsi="Times New Roman Regular" w:eastAsia="仿宋" w:cs="Times New Roman Regular"/>
          <w:snapToGrid/>
          <w:color w:val="000000"/>
          <w:kern w:val="2"/>
          <w:sz w:val="32"/>
          <w:szCs w:val="32"/>
          <w:lang w:val="en-US" w:eastAsia="zh-CN" w:bidi="ar-SA"/>
        </w:rPr>
        <w:t>。具体情况如下：</w:t>
      </w:r>
    </w:p>
    <w:p w14:paraId="790FC3BA">
      <w:pPr>
        <w:spacing w:line="600" w:lineRule="exact"/>
        <w:ind w:left="29" w:right="96" w:firstLine="650"/>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一般公共预算拨款安排的“三公”经费预算支出</w:t>
      </w:r>
      <w:r>
        <w:rPr>
          <w:rFonts w:hint="eastAsia" w:ascii="Times New Roman Regular" w:hAnsi="Times New Roman Regular" w:eastAsia="仿宋" w:cs="Times New Roman Regular"/>
          <w:snapToGrid/>
          <w:color w:val="000000"/>
          <w:kern w:val="2"/>
          <w:sz w:val="32"/>
          <w:szCs w:val="32"/>
          <w:lang w:val="en-US" w:eastAsia="zh-CN" w:bidi="ar-SA"/>
        </w:rPr>
        <w:t>97.36</w:t>
      </w:r>
      <w:r>
        <w:rPr>
          <w:rFonts w:hint="default" w:ascii="Times New Roman Regular" w:hAnsi="Times New Roman Regular" w:eastAsia="仿宋" w:cs="Times New Roman Regular"/>
          <w:snapToGrid/>
          <w:color w:val="000000"/>
          <w:kern w:val="2"/>
          <w:sz w:val="32"/>
          <w:szCs w:val="32"/>
          <w:lang w:val="en-US" w:eastAsia="zh-CN" w:bidi="ar-SA"/>
        </w:rPr>
        <w:t>万元，比上年预算</w:t>
      </w:r>
      <w:r>
        <w:rPr>
          <w:rFonts w:hint="eastAsia" w:ascii="Times New Roman Regular" w:hAnsi="Times New Roman Regular" w:eastAsia="仿宋" w:cs="Times New Roman Regular"/>
          <w:snapToGrid/>
          <w:color w:val="000000"/>
          <w:kern w:val="2"/>
          <w:sz w:val="32"/>
          <w:szCs w:val="32"/>
          <w:lang w:val="en-US" w:eastAsia="zh-CN" w:bidi="ar-SA"/>
        </w:rPr>
        <w:t>增加95.79</w:t>
      </w:r>
      <w:r>
        <w:rPr>
          <w:rFonts w:hint="default" w:ascii="Times New Roman Regular" w:hAnsi="Times New Roman Regular" w:eastAsia="仿宋" w:cs="Times New Roman Regular"/>
          <w:snapToGrid/>
          <w:color w:val="000000"/>
          <w:kern w:val="2"/>
          <w:sz w:val="32"/>
          <w:szCs w:val="32"/>
          <w:lang w:val="en-US" w:eastAsia="zh-CN" w:bidi="ar-SA"/>
        </w:rPr>
        <w:t>万元，</w:t>
      </w:r>
      <w:r>
        <w:rPr>
          <w:rFonts w:hint="eastAsia" w:ascii="Times New Roman Regular" w:hAnsi="Times New Roman Regular" w:eastAsia="仿宋" w:cs="Times New Roman Regular"/>
          <w:snapToGrid/>
          <w:color w:val="000000"/>
          <w:kern w:val="2"/>
          <w:sz w:val="32"/>
          <w:szCs w:val="32"/>
          <w:lang w:val="en-US" w:eastAsia="zh-CN" w:bidi="ar-SA"/>
        </w:rPr>
        <w:t>增加98.39%</w:t>
      </w:r>
      <w:r>
        <w:rPr>
          <w:rFonts w:hint="default" w:ascii="Times New Roman Regular" w:hAnsi="Times New Roman Regular" w:eastAsia="仿宋" w:cs="Times New Roman Regular"/>
          <w:snapToGrid/>
          <w:color w:val="000000"/>
          <w:kern w:val="2"/>
          <w:sz w:val="32"/>
          <w:szCs w:val="32"/>
          <w:lang w:val="en-US" w:eastAsia="zh-CN" w:bidi="ar-SA"/>
        </w:rPr>
        <w:t>；其中：</w:t>
      </w:r>
    </w:p>
    <w:p w14:paraId="475CC0D0">
      <w:pPr>
        <w:pStyle w:val="4"/>
        <w:spacing w:after="0" w:afterLines="0" w:line="600" w:lineRule="exact"/>
        <w:ind w:left="17" w:leftChars="8" w:firstLine="640" w:firstLineChars="200"/>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1．因公出国（境）费预算支出</w:t>
      </w:r>
      <w:r>
        <w:rPr>
          <w:rFonts w:hint="eastAsia" w:ascii="Times New Roman Regular" w:hAnsi="Times New Roman Regular" w:eastAsia="仿宋" w:cs="Times New Roman Regular"/>
          <w:snapToGrid/>
          <w:color w:val="000000"/>
          <w:kern w:val="2"/>
          <w:sz w:val="32"/>
          <w:szCs w:val="32"/>
          <w:lang w:val="en-US" w:eastAsia="zh-CN" w:bidi="ar-SA"/>
        </w:rPr>
        <w:t>0</w:t>
      </w:r>
      <w:r>
        <w:rPr>
          <w:rFonts w:hint="default" w:ascii="Times New Roman Regular" w:hAnsi="Times New Roman Regular" w:eastAsia="仿宋" w:cs="Times New Roman Regular"/>
          <w:snapToGrid/>
          <w:color w:val="000000"/>
          <w:kern w:val="2"/>
          <w:sz w:val="32"/>
          <w:szCs w:val="32"/>
          <w:lang w:val="en-US" w:eastAsia="zh-CN" w:bidi="ar-SA"/>
        </w:rPr>
        <w:t>万元，比上年预算增加（减少）</w:t>
      </w:r>
      <w:r>
        <w:rPr>
          <w:rFonts w:hint="eastAsia" w:ascii="Times New Roman Regular" w:hAnsi="Times New Roman Regular" w:eastAsia="仿宋" w:cs="Times New Roman Regular"/>
          <w:snapToGrid/>
          <w:color w:val="000000"/>
          <w:kern w:val="2"/>
          <w:sz w:val="32"/>
          <w:szCs w:val="32"/>
          <w:lang w:val="en-US" w:eastAsia="zh-CN" w:bidi="ar-SA"/>
        </w:rPr>
        <w:t>0</w:t>
      </w:r>
      <w:r>
        <w:rPr>
          <w:rFonts w:hint="default" w:ascii="Times New Roman Regular" w:hAnsi="Times New Roman Regular" w:eastAsia="仿宋" w:cs="Times New Roman Regular"/>
          <w:snapToGrid/>
          <w:color w:val="000000"/>
          <w:kern w:val="2"/>
          <w:sz w:val="32"/>
          <w:szCs w:val="32"/>
          <w:lang w:val="en-US" w:eastAsia="zh-CN" w:bidi="ar-SA"/>
        </w:rPr>
        <w:t>万元，主要原因不存在此项内容。</w:t>
      </w:r>
    </w:p>
    <w:p w14:paraId="3A4B5F5A">
      <w:pPr>
        <w:pStyle w:val="4"/>
        <w:tabs>
          <w:tab w:val="left" w:pos="2671"/>
          <w:tab w:val="left" w:pos="5000"/>
          <w:tab w:val="left" w:pos="6190"/>
        </w:tabs>
        <w:spacing w:after="0" w:afterLines="0" w:line="600" w:lineRule="exact"/>
        <w:ind w:firstLine="640" w:firstLineChars="200"/>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2．公务用车购置及运行维护费预算支出</w:t>
      </w:r>
      <w:r>
        <w:rPr>
          <w:rFonts w:hint="eastAsia" w:ascii="Times New Roman Regular" w:hAnsi="Times New Roman Regular" w:eastAsia="仿宋" w:cs="Times New Roman Regular"/>
          <w:snapToGrid/>
          <w:color w:val="000000"/>
          <w:kern w:val="2"/>
          <w:sz w:val="32"/>
          <w:szCs w:val="32"/>
          <w:lang w:val="en-US" w:eastAsia="zh-CN" w:bidi="ar-SA"/>
        </w:rPr>
        <w:t>97.24</w:t>
      </w:r>
      <w:r>
        <w:rPr>
          <w:rFonts w:hint="default" w:ascii="Times New Roman Regular" w:hAnsi="Times New Roman Regular" w:eastAsia="仿宋" w:cs="Times New Roman Regular"/>
          <w:snapToGrid/>
          <w:color w:val="000000"/>
          <w:kern w:val="2"/>
          <w:sz w:val="32"/>
          <w:szCs w:val="32"/>
          <w:lang w:val="en-US" w:eastAsia="zh-CN" w:bidi="ar-SA"/>
        </w:rPr>
        <w:t>万元。其中：</w:t>
      </w:r>
    </w:p>
    <w:p w14:paraId="3835B2F4">
      <w:pPr>
        <w:pStyle w:val="4"/>
        <w:spacing w:after="0" w:afterLines="0" w:line="600" w:lineRule="exact"/>
        <w:ind w:firstLine="640" w:firstLineChars="200"/>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（1）公务用车购置预算支出</w:t>
      </w:r>
      <w:r>
        <w:rPr>
          <w:rFonts w:hint="eastAsia" w:ascii="Times New Roman Regular" w:hAnsi="Times New Roman Regular" w:eastAsia="仿宋" w:cs="Times New Roman Regular"/>
          <w:snapToGrid/>
          <w:color w:val="000000"/>
          <w:kern w:val="2"/>
          <w:sz w:val="32"/>
          <w:szCs w:val="32"/>
          <w:lang w:val="en-US" w:eastAsia="zh-CN" w:bidi="ar-SA"/>
        </w:rPr>
        <w:t>94.74</w:t>
      </w:r>
      <w:r>
        <w:rPr>
          <w:rFonts w:hint="default" w:ascii="Times New Roman Regular" w:hAnsi="Times New Roman Regular" w:eastAsia="仿宋" w:cs="Times New Roman Regular"/>
          <w:snapToGrid/>
          <w:color w:val="000000"/>
          <w:kern w:val="2"/>
          <w:sz w:val="32"/>
          <w:szCs w:val="32"/>
          <w:lang w:val="en-US" w:eastAsia="zh-CN" w:bidi="ar-SA"/>
        </w:rPr>
        <w:t>万元，比上年预算增加</w:t>
      </w:r>
      <w:r>
        <w:rPr>
          <w:rFonts w:hint="eastAsia" w:ascii="Times New Roman Regular" w:hAnsi="Times New Roman Regular" w:eastAsia="仿宋" w:cs="Times New Roman Regular"/>
          <w:snapToGrid/>
          <w:color w:val="000000"/>
          <w:kern w:val="2"/>
          <w:sz w:val="32"/>
          <w:szCs w:val="32"/>
          <w:lang w:val="en-US" w:eastAsia="zh-CN" w:bidi="ar-SA"/>
        </w:rPr>
        <w:t>94.74</w:t>
      </w:r>
      <w:r>
        <w:rPr>
          <w:rFonts w:hint="default" w:ascii="Times New Roman Regular" w:hAnsi="Times New Roman Regular" w:eastAsia="仿宋" w:cs="Times New Roman Regular"/>
          <w:snapToGrid/>
          <w:color w:val="000000"/>
          <w:kern w:val="2"/>
          <w:sz w:val="32"/>
          <w:szCs w:val="32"/>
          <w:lang w:val="en-US" w:eastAsia="zh-CN" w:bidi="ar-SA"/>
        </w:rPr>
        <w:t>万元，主要原因</w:t>
      </w:r>
      <w:r>
        <w:rPr>
          <w:rFonts w:hint="eastAsia" w:ascii="Times New Roman Regular" w:hAnsi="Times New Roman Regular" w:eastAsia="仿宋" w:cs="Times New Roman Regular"/>
          <w:snapToGrid/>
          <w:color w:val="000000"/>
          <w:kern w:val="2"/>
          <w:sz w:val="32"/>
          <w:szCs w:val="32"/>
          <w:lang w:val="en-US" w:eastAsia="zh-CN" w:bidi="ar-SA"/>
        </w:rPr>
        <w:t>我中心需购买一辆医疗指挥车，用于大型活动保障指挥</w:t>
      </w:r>
      <w:r>
        <w:rPr>
          <w:rFonts w:hint="default" w:ascii="Times New Roman Regular" w:hAnsi="Times New Roman Regular" w:eastAsia="仿宋" w:cs="Times New Roman Regular"/>
          <w:snapToGrid/>
          <w:color w:val="000000"/>
          <w:kern w:val="2"/>
          <w:sz w:val="32"/>
          <w:szCs w:val="32"/>
          <w:lang w:val="en-US" w:eastAsia="zh-CN" w:bidi="ar-SA"/>
        </w:rPr>
        <w:t>。</w:t>
      </w:r>
    </w:p>
    <w:p w14:paraId="6F1285C0">
      <w:pPr>
        <w:pStyle w:val="4"/>
        <w:spacing w:after="0" w:afterLines="0" w:line="600" w:lineRule="exact"/>
        <w:ind w:firstLine="640" w:firstLineChars="200"/>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（2）公务用车运行维护费预算支出</w:t>
      </w:r>
      <w:r>
        <w:rPr>
          <w:rFonts w:hint="eastAsia" w:ascii="Times New Roman Regular" w:hAnsi="Times New Roman Regular" w:eastAsia="仿宋" w:cs="Times New Roman Regular"/>
          <w:snapToGrid/>
          <w:color w:val="000000"/>
          <w:kern w:val="2"/>
          <w:sz w:val="32"/>
          <w:szCs w:val="32"/>
          <w:lang w:val="en-US" w:eastAsia="zh-CN" w:bidi="ar-SA"/>
        </w:rPr>
        <w:t>2.39</w:t>
      </w:r>
      <w:r>
        <w:rPr>
          <w:rFonts w:hint="default" w:ascii="Times New Roman Regular" w:hAnsi="Times New Roman Regular" w:eastAsia="仿宋" w:cs="Times New Roman Regular"/>
          <w:snapToGrid/>
          <w:color w:val="000000"/>
          <w:kern w:val="2"/>
          <w:sz w:val="32"/>
          <w:szCs w:val="32"/>
          <w:lang w:val="en-US" w:eastAsia="zh-CN" w:bidi="ar-SA"/>
        </w:rPr>
        <w:t>万元，比上年预算减少</w:t>
      </w:r>
      <w:r>
        <w:rPr>
          <w:rFonts w:hint="eastAsia" w:ascii="Times New Roman Regular" w:hAnsi="Times New Roman Regular" w:eastAsia="仿宋" w:cs="Times New Roman Regular"/>
          <w:snapToGrid/>
          <w:color w:val="000000"/>
          <w:kern w:val="2"/>
          <w:sz w:val="32"/>
          <w:szCs w:val="32"/>
          <w:lang w:val="en-US" w:eastAsia="zh-CN" w:bidi="ar-SA"/>
        </w:rPr>
        <w:t>0</w:t>
      </w:r>
      <w:r>
        <w:rPr>
          <w:rFonts w:hint="default" w:ascii="Times New Roman Regular" w:hAnsi="Times New Roman Regular" w:eastAsia="仿宋" w:cs="Times New Roman Regular"/>
          <w:snapToGrid/>
          <w:color w:val="000000"/>
          <w:kern w:val="2"/>
          <w:sz w:val="32"/>
          <w:szCs w:val="32"/>
          <w:lang w:val="en-US" w:eastAsia="zh-CN" w:bidi="ar-SA"/>
        </w:rPr>
        <w:t>万元，主要原因不存在此项内容。</w:t>
      </w:r>
    </w:p>
    <w:p w14:paraId="098B2097">
      <w:pPr>
        <w:pStyle w:val="4"/>
        <w:spacing w:after="0" w:afterLines="0" w:line="600" w:lineRule="exact"/>
        <w:ind w:firstLine="640" w:firstLineChars="200"/>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3．公务接待费预算支出</w:t>
      </w:r>
      <w:r>
        <w:rPr>
          <w:rFonts w:hint="eastAsia" w:ascii="Times New Roman Regular" w:hAnsi="Times New Roman Regular" w:eastAsia="仿宋" w:cs="Times New Roman Regular"/>
          <w:snapToGrid/>
          <w:color w:val="000000"/>
          <w:kern w:val="2"/>
          <w:sz w:val="32"/>
          <w:szCs w:val="32"/>
          <w:lang w:val="en-US" w:eastAsia="zh-CN" w:bidi="ar-SA"/>
        </w:rPr>
        <w:t>0.12</w:t>
      </w:r>
      <w:r>
        <w:rPr>
          <w:rFonts w:hint="default" w:ascii="Times New Roman Regular" w:hAnsi="Times New Roman Regular" w:eastAsia="仿宋" w:cs="Times New Roman Regular"/>
          <w:snapToGrid/>
          <w:color w:val="000000"/>
          <w:kern w:val="2"/>
          <w:sz w:val="32"/>
          <w:szCs w:val="32"/>
          <w:lang w:val="en-US" w:eastAsia="zh-CN" w:bidi="ar-SA"/>
        </w:rPr>
        <w:t>万元，</w:t>
      </w:r>
      <w:r>
        <w:rPr>
          <w:rFonts w:hint="eastAsia" w:ascii="Times New Roman Regular" w:hAnsi="Times New Roman Regular" w:eastAsia="仿宋" w:cs="Times New Roman Regular"/>
          <w:snapToGrid/>
          <w:color w:val="000000"/>
          <w:kern w:val="2"/>
          <w:sz w:val="32"/>
          <w:szCs w:val="32"/>
          <w:lang w:val="en-US" w:eastAsia="zh-CN" w:bidi="ar-SA"/>
        </w:rPr>
        <w:t>与上年对比无变动</w:t>
      </w:r>
      <w:r>
        <w:rPr>
          <w:rFonts w:hint="default" w:ascii="Times New Roman Regular" w:hAnsi="Times New Roman Regular" w:eastAsia="仿宋" w:cs="Times New Roman Regular"/>
          <w:snapToGrid/>
          <w:color w:val="000000"/>
          <w:kern w:val="2"/>
          <w:sz w:val="32"/>
          <w:szCs w:val="32"/>
          <w:lang w:val="en-US" w:eastAsia="zh-CN" w:bidi="ar-SA"/>
        </w:rPr>
        <w:t>。</w:t>
      </w:r>
    </w:p>
    <w:p w14:paraId="00DBCCF0">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八、政府性基金预算支出预算情况说明</w:t>
      </w:r>
    </w:p>
    <w:p w14:paraId="6D006443">
      <w:pPr>
        <w:pStyle w:val="4"/>
        <w:spacing w:before="201" w:line="268" w:lineRule="auto"/>
        <w:ind w:firstLine="643"/>
        <w:rPr>
          <w:rFonts w:eastAsia="仿宋_GB2312"/>
          <w:sz w:val="32"/>
          <w:szCs w:val="32"/>
          <w:highlight w:val="none"/>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度政府性基金支出 预算支出0万元。与上年相比增加（减少）0万元，增长（减少）0 % 。主要原因本年无政府性基金预算支出。</w:t>
      </w:r>
    </w:p>
    <w:p w14:paraId="4E1DE1B3">
      <w:pPr>
        <w:pStyle w:val="4"/>
        <w:spacing w:after="0" w:afterLines="0" w:line="600" w:lineRule="exact"/>
        <w:ind w:left="17" w:leftChars="8" w:firstLine="640" w:firstLineChars="200"/>
        <w:rPr>
          <w:rFonts w:eastAsia="仿宋_GB2312"/>
          <w:sz w:val="32"/>
          <w:szCs w:val="32"/>
          <w:highlight w:val="none"/>
        </w:rPr>
      </w:pPr>
      <w:r>
        <w:rPr>
          <w:rFonts w:eastAsia="仿宋_GB2312"/>
          <w:sz w:val="32"/>
          <w:szCs w:val="32"/>
          <w:highlight w:val="none"/>
        </w:rPr>
        <w:t>其中：</w:t>
      </w:r>
    </w:p>
    <w:p w14:paraId="646E5733">
      <w:pPr>
        <w:pStyle w:val="4"/>
        <w:spacing w:before="201" w:line="268" w:lineRule="auto"/>
        <w:ind w:firstLine="643"/>
        <w:rPr>
          <w:rFonts w:hint="default" w:ascii="Times New Roman Regular" w:hAnsi="Times New Roman Regular" w:eastAsia="仿宋" w:cs="Times New Roman Regular"/>
          <w:snapToGrid/>
          <w:color w:val="000000"/>
          <w:kern w:val="2"/>
          <w:sz w:val="32"/>
          <w:szCs w:val="32"/>
          <w:lang w:val="en-US" w:eastAsia="zh-CN" w:bidi="ar-SA"/>
        </w:rPr>
      </w:pPr>
      <w:r>
        <w:rPr>
          <w:rFonts w:eastAsia="仿宋_GB2312"/>
          <w:sz w:val="32"/>
          <w:szCs w:val="32"/>
          <w:highlight w:val="none"/>
        </w:rPr>
        <w:t>1．城乡社区支出（类）政府住房基金及对应专项债务收入安排的支出（款）管理费用支出（项）支出</w:t>
      </w:r>
      <w:r>
        <w:rPr>
          <w:rFonts w:hint="eastAsia" w:eastAsia="仿宋_GB2312"/>
          <w:sz w:val="32"/>
          <w:szCs w:val="32"/>
          <w:highlight w:val="none"/>
          <w:u w:val="none"/>
          <w:lang w:val="en-US" w:eastAsia="zh-CN"/>
        </w:rPr>
        <w:t>0</w:t>
      </w:r>
      <w:r>
        <w:rPr>
          <w:rFonts w:eastAsia="仿宋_GB2312"/>
          <w:sz w:val="32"/>
          <w:szCs w:val="32"/>
          <w:highlight w:val="none"/>
        </w:rPr>
        <w:t>万元，</w:t>
      </w:r>
      <w:r>
        <w:rPr>
          <w:rFonts w:hint="default" w:ascii="Times New Roman Regular" w:hAnsi="Times New Roman Regular" w:eastAsia="仿宋" w:cs="Times New Roman Regular"/>
          <w:snapToGrid/>
          <w:color w:val="000000"/>
          <w:kern w:val="2"/>
          <w:sz w:val="32"/>
          <w:szCs w:val="32"/>
          <w:lang w:val="en-US" w:eastAsia="zh-CN" w:bidi="ar-SA"/>
        </w:rPr>
        <w:t>主要是本年无政府性基金预算支出。</w:t>
      </w:r>
    </w:p>
    <w:p w14:paraId="6ABAC1D9">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九、国有资本经营预算支出预算情况说明</w:t>
      </w:r>
    </w:p>
    <w:p w14:paraId="2EAF50F1">
      <w:pPr>
        <w:pStyle w:val="4"/>
        <w:spacing w:before="201" w:line="268" w:lineRule="auto"/>
        <w:ind w:firstLine="643"/>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年度国有资本经营 预算支出0 万元。与上年相比增加（减少）0万元，增长（减少）    0 % 。主要原因是本年无国有资本经营预算支出。</w:t>
      </w:r>
    </w:p>
    <w:p w14:paraId="4A7122B4">
      <w:pPr>
        <w:pStyle w:val="4"/>
        <w:spacing w:before="201" w:line="268" w:lineRule="auto"/>
        <w:ind w:firstLine="643"/>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其中：</w:t>
      </w:r>
    </w:p>
    <w:p w14:paraId="51706F02">
      <w:pPr>
        <w:pStyle w:val="4"/>
        <w:spacing w:before="201" w:line="268" w:lineRule="auto"/>
        <w:ind w:firstLine="643"/>
        <w:rPr>
          <w:rFonts w:eastAsia="仿宋_GB2312" w:cs="Times New Roman"/>
          <w:sz w:val="32"/>
          <w:szCs w:val="32"/>
          <w:highlight w:val="none"/>
        </w:rPr>
      </w:pPr>
      <w:r>
        <w:rPr>
          <w:rFonts w:hint="default" w:ascii="Times New Roman Regular" w:hAnsi="Times New Roman Regular" w:eastAsia="仿宋" w:cs="Times New Roman Regular"/>
          <w:snapToGrid/>
          <w:color w:val="000000"/>
          <w:kern w:val="2"/>
          <w:sz w:val="32"/>
          <w:szCs w:val="32"/>
          <w:lang w:val="en-US" w:eastAsia="zh-CN" w:bidi="ar-SA"/>
        </w:rPr>
        <w:t>1．国有资本经营预算支出（类）解决历史遗留问题及改革成 本支出（款）“三供一业”移交补助支出（项）支出0万元，主要是本年无国有资本经营预算支出。</w:t>
      </w:r>
    </w:p>
    <w:p w14:paraId="0AA4C9A1">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十、项目支出预算情况说明</w:t>
      </w:r>
    </w:p>
    <w:p w14:paraId="1B5BA253">
      <w:pPr>
        <w:pStyle w:val="4"/>
        <w:spacing w:before="201" w:line="268" w:lineRule="auto"/>
        <w:ind w:firstLine="643"/>
        <w:rPr>
          <w:rFonts w:hint="default" w:ascii="Times New Roman Regular" w:hAnsi="Times New Roman Regular" w:eastAsia="仿宋" w:cs="Times New Roman Regular"/>
          <w:snapToGrid/>
          <w:color w:val="000000"/>
          <w:kern w:val="2"/>
          <w:sz w:val="32"/>
          <w:szCs w:val="32"/>
          <w:lang w:val="en-US" w:eastAsia="zh-CN" w:bidi="ar-SA"/>
        </w:rPr>
      </w:pPr>
      <w:r>
        <w:rPr>
          <w:rFonts w:hint="default" w:ascii="Times New Roman Regular" w:hAnsi="Times New Roman Regular" w:eastAsia="仿宋" w:cs="Times New Roman Regular"/>
          <w:snapToGrid/>
          <w:color w:val="000000"/>
          <w:kern w:val="2"/>
          <w:sz w:val="32"/>
          <w:szCs w:val="32"/>
          <w:lang w:val="en-US" w:eastAsia="zh-CN" w:bidi="ar-SA"/>
        </w:rPr>
        <w:t>鄂尔多斯市 120 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年度预算安排项目3个，项目预算总金额</w:t>
      </w:r>
      <w:r>
        <w:rPr>
          <w:rFonts w:hint="eastAsia" w:ascii="Times New Roman Regular" w:hAnsi="Times New Roman Regular" w:eastAsia="仿宋" w:cs="Times New Roman Regular"/>
          <w:snapToGrid/>
          <w:color w:val="000000"/>
          <w:kern w:val="2"/>
          <w:sz w:val="32"/>
          <w:szCs w:val="32"/>
          <w:lang w:val="en-US" w:eastAsia="zh-CN" w:bidi="ar-SA"/>
        </w:rPr>
        <w:t>264.74</w:t>
      </w:r>
      <w:r>
        <w:rPr>
          <w:rFonts w:hint="default" w:ascii="Times New Roman Regular" w:hAnsi="Times New Roman Regular" w:eastAsia="仿宋" w:cs="Times New Roman Regular"/>
          <w:snapToGrid/>
          <w:color w:val="000000"/>
          <w:kern w:val="2"/>
          <w:sz w:val="32"/>
          <w:szCs w:val="32"/>
          <w:lang w:val="en-US" w:eastAsia="zh-CN" w:bidi="ar-SA"/>
        </w:rPr>
        <w:t>万元。其中，财政本年拨款金额</w:t>
      </w:r>
      <w:r>
        <w:rPr>
          <w:rFonts w:hint="eastAsia" w:ascii="Times New Roman Regular" w:hAnsi="Times New Roman Regular" w:eastAsia="仿宋" w:cs="Times New Roman Regular"/>
          <w:snapToGrid/>
          <w:color w:val="000000"/>
          <w:kern w:val="2"/>
          <w:sz w:val="32"/>
          <w:szCs w:val="32"/>
          <w:lang w:val="en-US" w:eastAsia="zh-CN" w:bidi="ar-SA"/>
        </w:rPr>
        <w:t>264.74</w:t>
      </w:r>
      <w:r>
        <w:rPr>
          <w:rFonts w:hint="default" w:ascii="Times New Roman Regular" w:hAnsi="Times New Roman Regular" w:eastAsia="仿宋" w:cs="Times New Roman Regular"/>
          <w:snapToGrid/>
          <w:color w:val="000000"/>
          <w:kern w:val="2"/>
          <w:sz w:val="32"/>
          <w:szCs w:val="32"/>
          <w:lang w:val="en-US" w:eastAsia="zh-CN" w:bidi="ar-SA"/>
        </w:rPr>
        <w:t>万元，财政拨款结转结余0万元，财政专户管理资金0万元，单位资金0万元。</w:t>
      </w:r>
    </w:p>
    <w:p w14:paraId="3C4440E5">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十一、</w:t>
      </w:r>
      <w:r>
        <w:rPr>
          <w:rFonts w:hint="eastAsia" w:eastAsia="黑体" w:cs="黑体"/>
          <w:sz w:val="32"/>
          <w:szCs w:val="36"/>
          <w:highlight w:val="none"/>
          <w:lang w:val="en-US" w:eastAsia="zh-CN"/>
        </w:rPr>
        <w:t>机构</w:t>
      </w:r>
      <w:r>
        <w:rPr>
          <w:rFonts w:hint="eastAsia" w:eastAsia="黑体" w:cs="黑体"/>
          <w:sz w:val="32"/>
          <w:szCs w:val="36"/>
          <w:highlight w:val="none"/>
        </w:rPr>
        <w:t>运行经费支出预算情况说明</w:t>
      </w:r>
    </w:p>
    <w:p w14:paraId="3E1A17E9">
      <w:pPr>
        <w:pStyle w:val="4"/>
        <w:spacing w:before="198" w:line="270" w:lineRule="auto"/>
        <w:ind w:firstLine="642"/>
        <w:rPr>
          <w:rFonts w:ascii="微软雅黑" w:hAnsi="微软雅黑" w:eastAsia="微软雅黑" w:cs="微软雅黑"/>
          <w:sz w:val="31"/>
          <w:szCs w:val="31"/>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年度机构运行经费 预算支出</w:t>
      </w:r>
      <w:r>
        <w:rPr>
          <w:rFonts w:hint="eastAsia" w:ascii="Times New Roman Regular" w:hAnsi="Times New Roman Regular" w:eastAsia="仿宋" w:cs="Times New Roman Regular"/>
          <w:snapToGrid/>
          <w:color w:val="000000"/>
          <w:kern w:val="2"/>
          <w:sz w:val="32"/>
          <w:szCs w:val="32"/>
          <w:lang w:val="en-US" w:eastAsia="zh-CN" w:bidi="ar-SA"/>
        </w:rPr>
        <w:t>33.26</w:t>
      </w:r>
      <w:r>
        <w:rPr>
          <w:rFonts w:hint="default" w:ascii="Times New Roman Regular" w:hAnsi="Times New Roman Regular" w:eastAsia="仿宋" w:cs="Times New Roman Regular"/>
          <w:snapToGrid/>
          <w:color w:val="000000"/>
          <w:kern w:val="2"/>
          <w:sz w:val="32"/>
          <w:szCs w:val="32"/>
          <w:lang w:val="en-US" w:eastAsia="zh-CN" w:bidi="ar-SA"/>
        </w:rPr>
        <w:t>万元，与上年相比增加</w:t>
      </w:r>
      <w:r>
        <w:rPr>
          <w:rFonts w:hint="eastAsia" w:ascii="Times New Roman Regular" w:hAnsi="Times New Roman Regular" w:eastAsia="仿宋" w:cs="Times New Roman Regular"/>
          <w:snapToGrid/>
          <w:color w:val="000000"/>
          <w:kern w:val="2"/>
          <w:sz w:val="32"/>
          <w:szCs w:val="32"/>
          <w:lang w:val="en-US" w:eastAsia="zh-CN" w:bidi="ar-SA"/>
        </w:rPr>
        <w:t>1.30</w:t>
      </w:r>
      <w:r>
        <w:rPr>
          <w:rFonts w:hint="default" w:ascii="Times New Roman Regular" w:hAnsi="Times New Roman Regular" w:eastAsia="仿宋" w:cs="Times New Roman Regular"/>
          <w:snapToGrid/>
          <w:color w:val="000000"/>
          <w:kern w:val="2"/>
          <w:sz w:val="32"/>
          <w:szCs w:val="32"/>
          <w:lang w:val="en-US" w:eastAsia="zh-CN" w:bidi="ar-SA"/>
        </w:rPr>
        <w:t>万元，增</w:t>
      </w:r>
      <w:r>
        <w:rPr>
          <w:rFonts w:hint="eastAsia" w:ascii="Times New Roman Regular" w:hAnsi="Times New Roman Regular" w:eastAsia="仿宋" w:cs="Times New Roman Regular"/>
          <w:snapToGrid/>
          <w:color w:val="000000"/>
          <w:kern w:val="2"/>
          <w:sz w:val="32"/>
          <w:szCs w:val="32"/>
          <w:lang w:val="en-US" w:eastAsia="zh-CN" w:bidi="ar-SA"/>
        </w:rPr>
        <w:t>长3.89</w:t>
      </w:r>
      <w:r>
        <w:rPr>
          <w:rFonts w:hint="default" w:ascii="Times New Roman Regular" w:hAnsi="Times New Roman Regular" w:eastAsia="仿宋" w:cs="Times New Roman Regular"/>
          <w:snapToGrid/>
          <w:color w:val="000000"/>
          <w:kern w:val="2"/>
          <w:sz w:val="32"/>
          <w:szCs w:val="32"/>
          <w:lang w:val="en-US" w:eastAsia="zh-CN" w:bidi="ar-SA"/>
        </w:rPr>
        <w:t xml:space="preserve"> % 。主要原因是：</w:t>
      </w:r>
      <w:r>
        <w:rPr>
          <w:rFonts w:hint="eastAsia" w:ascii="Times New Roman Regular" w:hAnsi="Times New Roman Regular" w:eastAsia="仿宋" w:cs="Times New Roman Regular"/>
          <w:snapToGrid/>
          <w:color w:val="000000"/>
          <w:kern w:val="2"/>
          <w:sz w:val="32"/>
          <w:szCs w:val="32"/>
          <w:lang w:val="en-US" w:eastAsia="zh-CN" w:bidi="ar-SA"/>
        </w:rPr>
        <w:t>工资变动，工会会费增加</w:t>
      </w:r>
      <w:r>
        <w:rPr>
          <w:rFonts w:hint="default" w:ascii="Times New Roman Regular" w:hAnsi="Times New Roman Regular" w:eastAsia="仿宋" w:cs="Times New Roman Regular"/>
          <w:snapToGrid/>
          <w:color w:val="000000"/>
          <w:kern w:val="2"/>
          <w:sz w:val="32"/>
          <w:szCs w:val="32"/>
          <w:lang w:val="en-US" w:eastAsia="zh-CN" w:bidi="ar-SA"/>
        </w:rPr>
        <w:t>。</w:t>
      </w:r>
    </w:p>
    <w:p w14:paraId="7F95FCF7">
      <w:pPr>
        <w:spacing w:line="600" w:lineRule="exact"/>
        <w:ind w:left="0" w:leftChars="0" w:firstLine="640" w:firstLineChars="200"/>
        <w:outlineLvl w:val="2"/>
        <w:rPr>
          <w:rFonts w:eastAsia="黑体" w:cs="黑体"/>
          <w:b/>
          <w:bCs/>
          <w:sz w:val="32"/>
          <w:szCs w:val="36"/>
          <w:highlight w:val="none"/>
        </w:rPr>
      </w:pPr>
      <w:r>
        <w:rPr>
          <w:rFonts w:hint="eastAsia" w:eastAsia="黑体" w:cs="黑体"/>
          <w:sz w:val="32"/>
          <w:szCs w:val="36"/>
          <w:highlight w:val="none"/>
        </w:rPr>
        <w:t>十二、政府采购支出预算情况说明</w:t>
      </w:r>
    </w:p>
    <w:p w14:paraId="41305823">
      <w:pPr>
        <w:spacing w:line="600" w:lineRule="exact"/>
        <w:ind w:firstLine="640" w:firstLineChars="200"/>
        <w:rPr>
          <w:rFonts w:eastAsia="仿宋_GB2312"/>
          <w:sz w:val="32"/>
          <w:szCs w:val="32"/>
          <w:highlight w:val="none"/>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w:t>
      </w:r>
      <w:r>
        <w:rPr>
          <w:rFonts w:hint="eastAsia" w:ascii="Times New Roman Regular" w:hAnsi="Times New Roman Regular" w:eastAsia="仿宋" w:cs="Times New Roman Regular"/>
          <w:snapToGrid/>
          <w:color w:val="000000"/>
          <w:kern w:val="2"/>
          <w:sz w:val="32"/>
          <w:szCs w:val="32"/>
          <w:lang w:val="en-US" w:eastAsia="zh-CN" w:bidi="ar-SA"/>
        </w:rPr>
        <w:t>2026</w:t>
      </w:r>
      <w:r>
        <w:rPr>
          <w:rFonts w:hint="default" w:ascii="Times New Roman Regular" w:hAnsi="Times New Roman Regular" w:eastAsia="仿宋" w:cs="Times New Roman Regular"/>
          <w:snapToGrid/>
          <w:color w:val="000000"/>
          <w:kern w:val="2"/>
          <w:sz w:val="32"/>
          <w:szCs w:val="32"/>
          <w:lang w:val="en-US" w:eastAsia="zh-CN" w:bidi="ar-SA"/>
        </w:rPr>
        <w:t xml:space="preserve">年度政府采购支出预算总额 </w:t>
      </w:r>
      <w:r>
        <w:rPr>
          <w:rFonts w:hint="eastAsia" w:ascii="Times New Roman Regular" w:hAnsi="Times New Roman Regular" w:eastAsia="仿宋" w:cs="Times New Roman Regular"/>
          <w:snapToGrid/>
          <w:color w:val="000000"/>
          <w:kern w:val="2"/>
          <w:sz w:val="32"/>
          <w:szCs w:val="32"/>
          <w:lang w:val="en-US" w:eastAsia="zh-CN" w:bidi="ar-SA"/>
        </w:rPr>
        <w:t>37.50</w:t>
      </w:r>
      <w:r>
        <w:rPr>
          <w:rFonts w:hint="default" w:ascii="Times New Roman Regular" w:hAnsi="Times New Roman Regular" w:eastAsia="仿宋" w:cs="Times New Roman Regular"/>
          <w:snapToGrid/>
          <w:color w:val="000000"/>
          <w:kern w:val="2"/>
          <w:sz w:val="32"/>
          <w:szCs w:val="32"/>
          <w:lang w:val="en-US" w:eastAsia="zh-CN" w:bidi="ar-SA"/>
        </w:rPr>
        <w:t>万元，其中：拟采购货物支出</w:t>
      </w:r>
      <w:r>
        <w:rPr>
          <w:rFonts w:hint="eastAsia" w:ascii="Times New Roman Regular" w:hAnsi="Times New Roman Regular" w:eastAsia="仿宋" w:cs="Times New Roman Regular"/>
          <w:snapToGrid/>
          <w:color w:val="000000"/>
          <w:kern w:val="2"/>
          <w:sz w:val="32"/>
          <w:szCs w:val="32"/>
          <w:lang w:val="en-US" w:eastAsia="zh-CN" w:bidi="ar-SA"/>
        </w:rPr>
        <w:t>2</w:t>
      </w:r>
      <w:r>
        <w:rPr>
          <w:rFonts w:hint="default" w:ascii="Times New Roman Regular" w:hAnsi="Times New Roman Regular" w:eastAsia="仿宋" w:cs="Times New Roman Regular"/>
          <w:snapToGrid/>
          <w:color w:val="000000"/>
          <w:kern w:val="2"/>
          <w:sz w:val="32"/>
          <w:szCs w:val="32"/>
          <w:lang w:val="en-US" w:eastAsia="zh-CN" w:bidi="ar-SA"/>
        </w:rPr>
        <w:t>万元、拟采购工程支出</w:t>
      </w:r>
      <w:r>
        <w:rPr>
          <w:rFonts w:hint="eastAsia" w:ascii="Times New Roman Regular" w:hAnsi="Times New Roman Regular" w:eastAsia="仿宋" w:cs="Times New Roman Regular"/>
          <w:snapToGrid/>
          <w:color w:val="000000"/>
          <w:kern w:val="2"/>
          <w:sz w:val="32"/>
          <w:szCs w:val="32"/>
          <w:lang w:val="en-US" w:eastAsia="zh-CN" w:bidi="ar-SA"/>
        </w:rPr>
        <w:t>0</w:t>
      </w:r>
      <w:r>
        <w:rPr>
          <w:rFonts w:hint="default" w:ascii="Times New Roman Regular" w:hAnsi="Times New Roman Regular" w:eastAsia="仿宋" w:cs="Times New Roman Regular"/>
          <w:snapToGrid/>
          <w:color w:val="000000"/>
          <w:kern w:val="2"/>
          <w:sz w:val="32"/>
          <w:szCs w:val="32"/>
          <w:lang w:val="en-US" w:eastAsia="zh-CN" w:bidi="ar-SA"/>
        </w:rPr>
        <w:t>万元</w:t>
      </w:r>
      <w:r>
        <w:rPr>
          <w:rFonts w:eastAsia="仿宋_GB2312"/>
          <w:sz w:val="32"/>
          <w:szCs w:val="32"/>
          <w:highlight w:val="none"/>
        </w:rPr>
        <w:t>、拟购买服务</w:t>
      </w:r>
      <w:r>
        <w:rPr>
          <w:rFonts w:hint="default" w:ascii="Times New Roman Regular" w:hAnsi="Times New Roman Regular" w:eastAsia="仿宋" w:cs="Times New Roman Regular"/>
          <w:snapToGrid/>
          <w:color w:val="000000"/>
          <w:kern w:val="2"/>
          <w:sz w:val="32"/>
          <w:szCs w:val="32"/>
          <w:lang w:val="en-US" w:eastAsia="zh-CN" w:bidi="ar-SA"/>
        </w:rPr>
        <w:t>支出</w:t>
      </w:r>
      <w:r>
        <w:rPr>
          <w:rFonts w:hint="eastAsia" w:ascii="Times New Roman Regular" w:hAnsi="Times New Roman Regular" w:eastAsia="仿宋" w:cs="Times New Roman Regular"/>
          <w:snapToGrid/>
          <w:color w:val="000000"/>
          <w:kern w:val="2"/>
          <w:sz w:val="32"/>
          <w:szCs w:val="32"/>
          <w:lang w:val="en-US" w:eastAsia="zh-CN" w:bidi="ar-SA"/>
        </w:rPr>
        <w:t>35.5</w:t>
      </w:r>
      <w:r>
        <w:rPr>
          <w:rFonts w:hint="default" w:ascii="Times New Roman Regular" w:hAnsi="Times New Roman Regular" w:eastAsia="仿宋" w:cs="Times New Roman Regular"/>
          <w:snapToGrid/>
          <w:color w:val="000000"/>
          <w:kern w:val="2"/>
          <w:sz w:val="32"/>
          <w:szCs w:val="32"/>
          <w:lang w:val="en-US" w:eastAsia="zh-CN" w:bidi="ar-SA"/>
        </w:rPr>
        <w:t>万</w:t>
      </w:r>
      <w:r>
        <w:rPr>
          <w:rFonts w:eastAsia="仿宋_GB2312"/>
          <w:sz w:val="32"/>
          <w:szCs w:val="32"/>
          <w:highlight w:val="none"/>
        </w:rPr>
        <w:t>元。</w:t>
      </w:r>
    </w:p>
    <w:p w14:paraId="61747F81">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十三、国有资产占用情况说明</w:t>
      </w:r>
    </w:p>
    <w:p w14:paraId="7FAF61B2">
      <w:pPr>
        <w:pStyle w:val="4"/>
        <w:spacing w:before="198" w:line="270" w:lineRule="auto"/>
        <w:ind w:firstLine="642"/>
        <w:rPr>
          <w:rFonts w:ascii="微软雅黑" w:hAnsi="微软雅黑" w:eastAsia="微软雅黑" w:cs="微软雅黑"/>
          <w:sz w:val="31"/>
          <w:szCs w:val="31"/>
        </w:rPr>
      </w:pPr>
      <w:r>
        <w:rPr>
          <w:rFonts w:hint="default" w:ascii="Times New Roman Regular" w:hAnsi="Times New Roman Regular" w:eastAsia="仿宋" w:cs="Times New Roman Regular"/>
          <w:snapToGrid/>
          <w:color w:val="000000"/>
          <w:kern w:val="2"/>
          <w:sz w:val="32"/>
          <w:szCs w:val="32"/>
          <w:lang w:val="en-US" w:eastAsia="zh-CN" w:bidi="ar-SA"/>
        </w:rPr>
        <w:t>鄂尔多斯市120医疗救援指挥中心共有车辆1辆，其中， 一般公务用车0辆、执法执勤用车0辆、特种专业技术用车</w:t>
      </w:r>
      <w:r>
        <w:rPr>
          <w:rFonts w:hint="eastAsia" w:ascii="Times New Roman Regular" w:hAnsi="Times New Roman Regular" w:eastAsia="仿宋" w:cs="Times New Roman Regular"/>
          <w:snapToGrid/>
          <w:color w:val="000000"/>
          <w:kern w:val="2"/>
          <w:sz w:val="32"/>
          <w:szCs w:val="32"/>
          <w:lang w:val="en-US" w:eastAsia="zh-CN" w:bidi="ar-SA"/>
        </w:rPr>
        <w:t>1</w:t>
      </w:r>
      <w:r>
        <w:rPr>
          <w:rFonts w:hint="default" w:ascii="Times New Roman Regular" w:hAnsi="Times New Roman Regular" w:eastAsia="仿宋" w:cs="Times New Roman Regular"/>
          <w:snapToGrid/>
          <w:color w:val="000000"/>
          <w:kern w:val="2"/>
          <w:sz w:val="32"/>
          <w:szCs w:val="32"/>
          <w:lang w:val="en-US" w:eastAsia="zh-CN" w:bidi="ar-SA"/>
        </w:rPr>
        <w:t>辆、业务用车</w:t>
      </w:r>
      <w:r>
        <w:rPr>
          <w:rFonts w:hint="eastAsia" w:ascii="Times New Roman Regular" w:hAnsi="Times New Roman Regular" w:eastAsia="仿宋" w:cs="Times New Roman Regular"/>
          <w:snapToGrid/>
          <w:color w:val="000000"/>
          <w:kern w:val="2"/>
          <w:sz w:val="32"/>
          <w:szCs w:val="32"/>
          <w:lang w:val="en-US" w:eastAsia="zh-CN" w:bidi="ar-SA"/>
        </w:rPr>
        <w:t>0</w:t>
      </w:r>
      <w:r>
        <w:rPr>
          <w:rFonts w:hint="default" w:ascii="Times New Roman Regular" w:hAnsi="Times New Roman Regular" w:eastAsia="仿宋" w:cs="Times New Roman Regular"/>
          <w:snapToGrid/>
          <w:color w:val="000000"/>
          <w:kern w:val="2"/>
          <w:sz w:val="32"/>
          <w:szCs w:val="32"/>
          <w:lang w:val="en-US" w:eastAsia="zh-CN" w:bidi="ar-SA"/>
        </w:rPr>
        <w:t>辆、其他用车0辆等。单价50万元（含）以上的通用设备</w:t>
      </w:r>
      <w:r>
        <w:rPr>
          <w:rFonts w:hint="eastAsia" w:ascii="Times New Roman Regular" w:hAnsi="Times New Roman Regular" w:eastAsia="仿宋" w:cs="Times New Roman Regular"/>
          <w:snapToGrid/>
          <w:color w:val="000000"/>
          <w:kern w:val="2"/>
          <w:sz w:val="32"/>
          <w:szCs w:val="32"/>
          <w:lang w:val="en-US" w:eastAsia="zh-CN" w:bidi="ar-SA"/>
        </w:rPr>
        <w:t>1</w:t>
      </w:r>
      <w:r>
        <w:rPr>
          <w:rFonts w:hint="default" w:ascii="Times New Roman Regular" w:hAnsi="Times New Roman Regular" w:eastAsia="仿宋" w:cs="Times New Roman Regular"/>
          <w:snapToGrid/>
          <w:color w:val="000000"/>
          <w:kern w:val="2"/>
          <w:sz w:val="32"/>
          <w:szCs w:val="32"/>
          <w:lang w:val="en-US" w:eastAsia="zh-CN" w:bidi="ar-SA"/>
        </w:rPr>
        <w:t xml:space="preserve"> 台（套），单价100万元（含）以上的专用设备</w:t>
      </w:r>
      <w:r>
        <w:rPr>
          <w:rFonts w:hint="eastAsia" w:ascii="Times New Roman Regular" w:hAnsi="Times New Roman Regular" w:eastAsia="仿宋" w:cs="Times New Roman Regular"/>
          <w:snapToGrid/>
          <w:color w:val="000000"/>
          <w:kern w:val="2"/>
          <w:sz w:val="32"/>
          <w:szCs w:val="32"/>
          <w:lang w:val="en-US" w:eastAsia="zh-CN" w:bidi="ar-SA"/>
        </w:rPr>
        <w:t>2</w:t>
      </w:r>
      <w:r>
        <w:rPr>
          <w:rFonts w:hint="default" w:ascii="Times New Roman Regular" w:hAnsi="Times New Roman Regular" w:eastAsia="仿宋" w:cs="Times New Roman Regular"/>
          <w:snapToGrid/>
          <w:color w:val="000000"/>
          <w:kern w:val="2"/>
          <w:sz w:val="32"/>
          <w:szCs w:val="32"/>
          <w:lang w:val="en-US" w:eastAsia="zh-CN" w:bidi="ar-SA"/>
        </w:rPr>
        <w:t>台（套）。</w:t>
      </w:r>
    </w:p>
    <w:p w14:paraId="72F91641">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 xml:space="preserve">十四、项目绩效目标情况说明 </w:t>
      </w:r>
    </w:p>
    <w:p w14:paraId="7719F96E">
      <w:pPr>
        <w:spacing w:line="600" w:lineRule="exact"/>
        <w:ind w:firstLine="640" w:firstLineChars="200"/>
        <w:rPr>
          <w:rFonts w:eastAsia="仿宋_GB2312" w:cs="Times New Roman"/>
          <w:sz w:val="32"/>
          <w:szCs w:val="32"/>
          <w:highlight w:val="none"/>
        </w:rPr>
      </w:pPr>
      <w:r>
        <w:rPr>
          <w:rFonts w:hint="default" w:ascii="Times New Roman Regular" w:hAnsi="Times New Roman Regular" w:eastAsia="仿宋" w:cs="Times New Roman Regular"/>
          <w:snapToGrid/>
          <w:color w:val="000000"/>
          <w:kern w:val="2"/>
          <w:sz w:val="32"/>
          <w:szCs w:val="32"/>
          <w:lang w:val="en-US" w:eastAsia="zh-CN" w:bidi="ar-SA"/>
        </w:rPr>
        <w:t>鄂尔多斯市120 医疗救援指挥中心202</w:t>
      </w:r>
      <w:r>
        <w:rPr>
          <w:rFonts w:hint="eastAsia" w:ascii="Times New Roman Regular" w:hAnsi="Times New Roman Regular" w:eastAsia="仿宋" w:cs="Times New Roman Regular"/>
          <w:snapToGrid/>
          <w:color w:val="000000"/>
          <w:kern w:val="2"/>
          <w:sz w:val="32"/>
          <w:szCs w:val="32"/>
          <w:lang w:val="en-US" w:eastAsia="zh-CN" w:bidi="ar-SA"/>
        </w:rPr>
        <w:t>6</w:t>
      </w:r>
      <w:r>
        <w:rPr>
          <w:rFonts w:hint="default" w:ascii="Times New Roman Regular" w:hAnsi="Times New Roman Regular" w:eastAsia="仿宋" w:cs="Times New Roman Regular"/>
          <w:snapToGrid/>
          <w:color w:val="000000"/>
          <w:kern w:val="2"/>
          <w:sz w:val="32"/>
          <w:szCs w:val="32"/>
          <w:lang w:val="en-US" w:eastAsia="zh-CN" w:bidi="ar-SA"/>
        </w:rPr>
        <w:t>年度填报绩效目标的预算项目</w:t>
      </w:r>
      <w:r>
        <w:rPr>
          <w:rFonts w:hint="eastAsia" w:ascii="Times New Roman Regular" w:hAnsi="Times New Roman Regular" w:eastAsia="仿宋" w:cs="Times New Roman Regular"/>
          <w:snapToGrid/>
          <w:color w:val="000000"/>
          <w:kern w:val="2"/>
          <w:sz w:val="32"/>
          <w:szCs w:val="32"/>
          <w:highlight w:val="none"/>
          <w:lang w:val="en-US" w:eastAsia="zh-CN" w:bidi="ar-SA"/>
        </w:rPr>
        <w:t>3</w:t>
      </w:r>
      <w:r>
        <w:rPr>
          <w:rFonts w:hint="default" w:ascii="Times New Roman Regular" w:hAnsi="Times New Roman Regular" w:eastAsia="仿宋" w:cs="Times New Roman Regular"/>
          <w:snapToGrid/>
          <w:color w:val="000000"/>
          <w:kern w:val="2"/>
          <w:sz w:val="32"/>
          <w:szCs w:val="32"/>
          <w:highlight w:val="none"/>
          <w:lang w:val="en-US" w:eastAsia="zh-CN" w:bidi="ar-SA"/>
        </w:rPr>
        <w:t>个</w:t>
      </w:r>
      <w:r>
        <w:rPr>
          <w:rFonts w:hint="default" w:ascii="Times New Roman Regular" w:hAnsi="Times New Roman Regular" w:eastAsia="仿宋" w:cs="Times New Roman Regular"/>
          <w:snapToGrid/>
          <w:color w:val="000000"/>
          <w:kern w:val="2"/>
          <w:sz w:val="32"/>
          <w:szCs w:val="32"/>
          <w:lang w:val="en-US" w:eastAsia="zh-CN" w:bidi="ar-SA"/>
        </w:rPr>
        <w:t>，公开项目</w:t>
      </w:r>
      <w:r>
        <w:rPr>
          <w:rFonts w:hint="eastAsia" w:ascii="Times New Roman Regular" w:hAnsi="Times New Roman Regular" w:eastAsia="仿宋" w:cs="Times New Roman Regular"/>
          <w:snapToGrid/>
          <w:color w:val="000000"/>
          <w:kern w:val="2"/>
          <w:sz w:val="32"/>
          <w:szCs w:val="32"/>
          <w:lang w:val="en-US" w:eastAsia="zh-CN" w:bidi="ar-SA"/>
        </w:rPr>
        <w:t>3</w:t>
      </w:r>
      <w:r>
        <w:rPr>
          <w:rFonts w:hint="default" w:ascii="Times New Roman Regular" w:hAnsi="Times New Roman Regular" w:eastAsia="仿宋" w:cs="Times New Roman Regular"/>
          <w:snapToGrid/>
          <w:color w:val="000000"/>
          <w:kern w:val="2"/>
          <w:sz w:val="32"/>
          <w:szCs w:val="32"/>
          <w:lang w:val="en-US" w:eastAsia="zh-CN" w:bidi="ar-SA"/>
        </w:rPr>
        <w:t>个，公开项目占全部预算项目的 100% 。公开填报绩效目标的项目预算</w:t>
      </w:r>
      <w:r>
        <w:rPr>
          <w:rFonts w:hint="eastAsia" w:ascii="Times New Roman Regular" w:hAnsi="Times New Roman Regular" w:eastAsia="仿宋" w:cs="Times New Roman Regular"/>
          <w:snapToGrid/>
          <w:color w:val="000000"/>
          <w:kern w:val="2"/>
          <w:sz w:val="32"/>
          <w:szCs w:val="32"/>
          <w:lang w:val="en-US" w:eastAsia="zh-CN" w:bidi="ar-SA"/>
        </w:rPr>
        <w:t>264.74</w:t>
      </w:r>
      <w:r>
        <w:rPr>
          <w:rFonts w:hint="default" w:ascii="Times New Roman Regular" w:hAnsi="Times New Roman Regular" w:eastAsia="仿宋" w:cs="Times New Roman Regular"/>
          <w:snapToGrid/>
          <w:color w:val="000000"/>
          <w:kern w:val="2"/>
          <w:sz w:val="32"/>
          <w:szCs w:val="32"/>
          <w:lang w:val="en-US" w:eastAsia="zh-CN" w:bidi="ar-SA"/>
        </w:rPr>
        <w:t>万元，占全部项目预算的100%</w:t>
      </w:r>
      <w:r>
        <w:rPr>
          <w:rFonts w:hint="eastAsia" w:eastAsia="仿宋_GB2312" w:cs="Times New Roman"/>
          <w:sz w:val="32"/>
          <w:szCs w:val="32"/>
          <w:highlight w:val="none"/>
        </w:rPr>
        <w:t xml:space="preserve"> </w:t>
      </w:r>
    </w:p>
    <w:p w14:paraId="103658A1">
      <w:pPr>
        <w:pStyle w:val="7"/>
        <w:spacing w:after="0" w:afterLines="0" w:line="600" w:lineRule="exact"/>
        <w:rPr>
          <w:rFonts w:hint="default" w:ascii="方正小标宋简体" w:hAnsi="方正小标宋简体" w:eastAsia="方正小标宋简体" w:cs="方正小标宋简体"/>
          <w:sz w:val="36"/>
          <w:szCs w:val="36"/>
          <w:highlight w:val="none"/>
        </w:rPr>
      </w:pPr>
    </w:p>
    <w:p w14:paraId="37D255E1">
      <w:pPr>
        <w:pStyle w:val="7"/>
        <w:spacing w:after="0" w:afterLines="0" w:line="600" w:lineRule="exact"/>
        <w:rPr>
          <w:rFonts w:hint="default" w:ascii="方正小标宋简体" w:hAnsi="方正小标宋简体" w:eastAsia="方正小标宋简体" w:cs="方正小标宋简体"/>
          <w:sz w:val="36"/>
          <w:szCs w:val="36"/>
          <w:highlight w:val="none"/>
        </w:rPr>
      </w:pPr>
    </w:p>
    <w:p w14:paraId="71A9785C">
      <w:pPr>
        <w:pStyle w:val="2"/>
        <w:tabs>
          <w:tab w:val="left" w:pos="4392"/>
        </w:tabs>
        <w:adjustRightInd/>
        <w:snapToGrid/>
        <w:spacing w:before="0" w:beforeLines="0" w:after="0" w:afterLines="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2" w:name="_Toc15573"/>
      <w:r>
        <w:rPr>
          <w:rFonts w:hint="eastAsia" w:ascii="方正小标宋简体" w:hAnsi="方正小标宋简体" w:eastAsia="方正小标宋简体" w:cs="方正小标宋简体"/>
          <w:b w:val="0"/>
          <w:bCs w:val="0"/>
          <w:sz w:val="36"/>
          <w:szCs w:val="36"/>
          <w:highlight w:val="none"/>
        </w:rPr>
        <w:t>第三部分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名词解释</w:t>
      </w:r>
      <w:bookmarkEnd w:id="2"/>
    </w:p>
    <w:p w14:paraId="58D86E15">
      <w:pPr>
        <w:rPr>
          <w:sz w:val="36"/>
          <w:szCs w:val="36"/>
          <w:highlight w:val="none"/>
        </w:rPr>
      </w:pPr>
    </w:p>
    <w:p w14:paraId="2DC5143E">
      <w:pPr>
        <w:spacing w:line="600" w:lineRule="exact"/>
        <w:ind w:firstLine="643" w:firstLineChars="200"/>
        <w:rPr>
          <w:rFonts w:eastAsia="仿宋_GB2312" w:cs="Times New Roman"/>
          <w:sz w:val="32"/>
          <w:szCs w:val="32"/>
          <w:highlight w:val="none"/>
        </w:rPr>
      </w:pPr>
      <w:r>
        <w:rPr>
          <w:rFonts w:hint="eastAsia" w:eastAsia="仿宋_GB2312" w:cs="Times New Roman"/>
          <w:b/>
          <w:bCs/>
          <w:sz w:val="32"/>
          <w:szCs w:val="32"/>
          <w:highlight w:val="none"/>
        </w:rPr>
        <w:t>一、财政拨款：</w:t>
      </w:r>
      <w:r>
        <w:rPr>
          <w:rFonts w:hint="eastAsia" w:eastAsia="仿宋_GB2312" w:cs="Times New Roman"/>
          <w:sz w:val="32"/>
          <w:szCs w:val="32"/>
          <w:highlight w:val="none"/>
        </w:rPr>
        <w:t>从同级财政部门取得的各类财政拨款，包括一般公共预算拨款、政府性基金预算拨款、国有资本经营预算拨款。</w:t>
      </w:r>
    </w:p>
    <w:p w14:paraId="73CD5D83">
      <w:pPr>
        <w:spacing w:line="600" w:lineRule="exact"/>
        <w:ind w:firstLine="643" w:firstLineChars="200"/>
        <w:rPr>
          <w:highlight w:val="none"/>
        </w:rPr>
      </w:pPr>
      <w:r>
        <w:rPr>
          <w:rFonts w:hint="eastAsia" w:eastAsia="仿宋_GB2312" w:cs="Times New Roman"/>
          <w:b/>
          <w:bCs/>
          <w:sz w:val="32"/>
          <w:szCs w:val="32"/>
          <w:highlight w:val="none"/>
        </w:rPr>
        <w:t>二、一般公共预算拨款收入：</w:t>
      </w:r>
      <w:r>
        <w:rPr>
          <w:rFonts w:hint="eastAsia" w:eastAsia="仿宋_GB2312" w:cs="Times New Roman"/>
          <w:sz w:val="32"/>
          <w:szCs w:val="32"/>
          <w:highlight w:val="none"/>
        </w:rPr>
        <w:t>指财政当年拨付的资金。</w:t>
      </w:r>
    </w:p>
    <w:p w14:paraId="69BC1786">
      <w:pPr>
        <w:spacing w:line="600" w:lineRule="exact"/>
        <w:ind w:firstLine="643" w:firstLineChars="200"/>
        <w:rPr>
          <w:rFonts w:eastAsia="仿宋_GB2312" w:cs="Times New Roman"/>
          <w:sz w:val="32"/>
          <w:szCs w:val="32"/>
          <w:highlight w:val="none"/>
        </w:rPr>
      </w:pPr>
      <w:r>
        <w:rPr>
          <w:rFonts w:hint="eastAsia" w:eastAsia="仿宋_GB2312" w:cs="Times New Roman"/>
          <w:b/>
          <w:bCs/>
          <w:sz w:val="32"/>
          <w:szCs w:val="32"/>
          <w:highlight w:val="none"/>
        </w:rPr>
        <w:t>三、财政专户管理资金：</w:t>
      </w:r>
      <w:r>
        <w:rPr>
          <w:rFonts w:hint="eastAsia" w:eastAsia="仿宋_GB2312" w:cs="Times New Roman"/>
          <w:sz w:val="32"/>
          <w:szCs w:val="32"/>
          <w:highlight w:val="none"/>
        </w:rPr>
        <w:t>缴入财政专户、实行专项管理的高中以上学费、住宿费、高校委托培养费、函大、电大、夜大及短训班培训费等教育收费。</w:t>
      </w:r>
    </w:p>
    <w:p w14:paraId="1A39B67D">
      <w:pPr>
        <w:spacing w:line="600" w:lineRule="exact"/>
        <w:ind w:firstLine="643" w:firstLineChars="200"/>
        <w:rPr>
          <w:rFonts w:eastAsia="仿宋_GB2312" w:cs="Times New Roman"/>
          <w:sz w:val="32"/>
          <w:szCs w:val="32"/>
          <w:highlight w:val="none"/>
        </w:rPr>
      </w:pPr>
      <w:r>
        <w:rPr>
          <w:rFonts w:hint="eastAsia" w:eastAsia="仿宋_GB2312" w:cs="Times New Roman"/>
          <w:b/>
          <w:bCs/>
          <w:sz w:val="32"/>
          <w:szCs w:val="32"/>
          <w:highlight w:val="none"/>
        </w:rPr>
        <w:t>四、单位资金：</w:t>
      </w:r>
      <w:r>
        <w:rPr>
          <w:rFonts w:hint="eastAsia" w:eastAsia="仿宋_GB2312" w:cs="Times New Roman"/>
          <w:sz w:val="32"/>
          <w:szCs w:val="32"/>
          <w:highlight w:val="none"/>
        </w:rPr>
        <w:t>除财政拨款收入和财政专户管理资金以外的收入，包括事业收入（不含教育收费）、上级补助收入、附属单位上缴收入、事业单位经营收入及其他收入（包含债务收入、投资收益等）。</w:t>
      </w:r>
    </w:p>
    <w:p w14:paraId="2FCD5C33">
      <w:pPr>
        <w:spacing w:line="600" w:lineRule="exact"/>
        <w:ind w:firstLine="643" w:firstLineChars="200"/>
        <w:rPr>
          <w:rFonts w:eastAsia="仿宋_GB2312" w:cs="Times New Roman"/>
          <w:sz w:val="32"/>
          <w:szCs w:val="32"/>
          <w:highlight w:val="none"/>
        </w:rPr>
      </w:pPr>
      <w:r>
        <w:rPr>
          <w:rFonts w:hint="eastAsia" w:eastAsia="仿宋_GB2312" w:cs="Times New Roman"/>
          <w:b/>
          <w:bCs/>
          <w:sz w:val="32"/>
          <w:szCs w:val="32"/>
          <w:highlight w:val="none"/>
        </w:rPr>
        <w:t>五、基本支出：</w:t>
      </w:r>
      <w:r>
        <w:rPr>
          <w:rFonts w:hint="eastAsia" w:eastAsia="仿宋_GB2312" w:cs="Times New Roman"/>
          <w:sz w:val="32"/>
          <w:szCs w:val="32"/>
          <w:highlight w:val="none"/>
        </w:rPr>
        <w:t>指为保障机构正常运转、完成工作任务而发生的人员支出和公用支出。</w:t>
      </w:r>
    </w:p>
    <w:p w14:paraId="26849A29">
      <w:pPr>
        <w:spacing w:line="600" w:lineRule="exact"/>
        <w:ind w:firstLine="643" w:firstLineChars="200"/>
        <w:rPr>
          <w:rFonts w:eastAsia="仿宋_GB2312" w:cs="Times New Roman"/>
          <w:sz w:val="32"/>
          <w:szCs w:val="32"/>
          <w:highlight w:val="none"/>
        </w:rPr>
      </w:pPr>
      <w:r>
        <w:rPr>
          <w:rFonts w:hint="eastAsia" w:eastAsia="仿宋_GB2312" w:cs="Times New Roman"/>
          <w:b/>
          <w:bCs/>
          <w:sz w:val="32"/>
          <w:szCs w:val="32"/>
          <w:highlight w:val="none"/>
        </w:rPr>
        <w:t>六、项目支出：</w:t>
      </w:r>
      <w:r>
        <w:rPr>
          <w:rFonts w:hint="eastAsia" w:eastAsia="仿宋_GB2312" w:cs="Times New Roman"/>
          <w:sz w:val="32"/>
          <w:szCs w:val="32"/>
          <w:highlight w:val="none"/>
        </w:rPr>
        <w:t>指在基本支出之外为完成特定工作任务和事业发展目标所发生的支出。</w:t>
      </w:r>
    </w:p>
    <w:p w14:paraId="4586200B">
      <w:pPr>
        <w:spacing w:line="600" w:lineRule="exact"/>
        <w:ind w:firstLine="643" w:firstLineChars="200"/>
        <w:rPr>
          <w:rFonts w:eastAsia="仿宋_GB2312" w:cs="Times New Roman"/>
          <w:sz w:val="32"/>
          <w:szCs w:val="32"/>
          <w:highlight w:val="none"/>
        </w:rPr>
      </w:pPr>
      <w:r>
        <w:rPr>
          <w:rFonts w:hint="eastAsia" w:eastAsia="仿宋_GB2312" w:cs="Times New Roman"/>
          <w:b/>
          <w:bCs/>
          <w:sz w:val="32"/>
          <w:szCs w:val="32"/>
          <w:highlight w:val="none"/>
        </w:rPr>
        <w:t>七、对个人和家庭的补助：</w:t>
      </w:r>
      <w:r>
        <w:rPr>
          <w:rFonts w:hint="eastAsia" w:eastAsia="仿宋_GB2312" w:cs="Times New Roman"/>
          <w:sz w:val="32"/>
          <w:szCs w:val="32"/>
          <w:highlight w:val="none"/>
        </w:rPr>
        <w:t>是指政府用于对个人和家庭的补助支出。</w:t>
      </w:r>
    </w:p>
    <w:p w14:paraId="1E98A8E8">
      <w:pPr>
        <w:spacing w:line="600" w:lineRule="exact"/>
        <w:ind w:firstLine="643" w:firstLineChars="200"/>
        <w:rPr>
          <w:rFonts w:eastAsia="仿宋_GB2312" w:cs="Times New Roman"/>
          <w:sz w:val="32"/>
          <w:szCs w:val="32"/>
          <w:highlight w:val="none"/>
        </w:rPr>
      </w:pPr>
      <w:r>
        <w:rPr>
          <w:rFonts w:hint="eastAsia" w:eastAsia="仿宋_GB2312" w:cs="Times New Roman"/>
          <w:b/>
          <w:bCs/>
          <w:sz w:val="32"/>
          <w:szCs w:val="32"/>
          <w:highlight w:val="none"/>
        </w:rPr>
        <w:t>八、“三公”经费：</w:t>
      </w:r>
      <w:r>
        <w:rPr>
          <w:rFonts w:hint="eastAsia" w:eastAsia="仿宋_GB2312" w:cs="Times New Roman"/>
          <w:sz w:val="32"/>
          <w:szCs w:val="32"/>
          <w:highlight w:val="none"/>
        </w:rPr>
        <w:t>指部门</w:t>
      </w:r>
      <w:r>
        <w:rPr>
          <w:rFonts w:hint="eastAsia" w:eastAsia="仿宋_GB2312" w:cs="Times New Roman"/>
          <w:sz w:val="32"/>
          <w:szCs w:val="32"/>
          <w:highlight w:val="none"/>
          <w:lang w:eastAsia="zh-CN"/>
        </w:rPr>
        <w:t>（</w:t>
      </w:r>
      <w:r>
        <w:rPr>
          <w:rFonts w:hint="eastAsia" w:eastAsia="仿宋_GB2312" w:cs="Times New Roman"/>
          <w:sz w:val="32"/>
          <w:szCs w:val="32"/>
          <w:highlight w:val="none"/>
        </w:rPr>
        <w:t>单位</w:t>
      </w:r>
      <w:r>
        <w:rPr>
          <w:rFonts w:hint="eastAsia" w:eastAsia="仿宋_GB2312" w:cs="Times New Roman"/>
          <w:sz w:val="32"/>
          <w:szCs w:val="32"/>
          <w:highlight w:val="none"/>
          <w:lang w:eastAsia="zh-CN"/>
        </w:rPr>
        <w:t>）</w:t>
      </w:r>
      <w:r>
        <w:rPr>
          <w:rFonts w:hint="eastAsia" w:eastAsia="仿宋_GB2312" w:cs="Times New Roman"/>
          <w:sz w:val="32"/>
          <w:szCs w:val="32"/>
          <w:highlight w:val="none"/>
        </w:rPr>
        <w:t>用一般公共预算财政拨款安排的因公出国（境）费、公务用车购置及运行维护费和公务接待费。其中，因公出国（境）费反映部门</w:t>
      </w:r>
      <w:r>
        <w:rPr>
          <w:rFonts w:hint="eastAsia" w:eastAsia="仿宋_GB2312" w:cs="Times New Roman"/>
          <w:sz w:val="32"/>
          <w:szCs w:val="32"/>
          <w:highlight w:val="none"/>
          <w:lang w:eastAsia="zh-CN"/>
        </w:rPr>
        <w:t>（</w:t>
      </w:r>
      <w:r>
        <w:rPr>
          <w:rFonts w:hint="eastAsia" w:eastAsia="仿宋_GB2312" w:cs="Times New Roman"/>
          <w:sz w:val="32"/>
          <w:szCs w:val="32"/>
          <w:highlight w:val="none"/>
        </w:rPr>
        <w:t>单位</w:t>
      </w:r>
      <w:r>
        <w:rPr>
          <w:rFonts w:hint="eastAsia" w:eastAsia="仿宋_GB2312" w:cs="Times New Roman"/>
          <w:sz w:val="32"/>
          <w:szCs w:val="32"/>
          <w:highlight w:val="none"/>
          <w:lang w:eastAsia="zh-CN"/>
        </w:rPr>
        <w:t>）</w:t>
      </w:r>
      <w:r>
        <w:rPr>
          <w:rFonts w:hint="eastAsia" w:eastAsia="仿宋_GB2312" w:cs="Times New Roman"/>
          <w:sz w:val="32"/>
          <w:szCs w:val="32"/>
          <w:highlight w:val="none"/>
        </w:rPr>
        <w:t>公务出国（境）的住宿费、旅费、伙食补助费、杂费、培训费等支出；公务用车购置及运行维护费反映部门</w:t>
      </w:r>
      <w:r>
        <w:rPr>
          <w:rFonts w:hint="eastAsia" w:eastAsia="仿宋_GB2312" w:cs="Times New Roman"/>
          <w:sz w:val="32"/>
          <w:szCs w:val="32"/>
          <w:highlight w:val="none"/>
          <w:lang w:eastAsia="zh-CN"/>
        </w:rPr>
        <w:t>（</w:t>
      </w:r>
      <w:r>
        <w:rPr>
          <w:rFonts w:hint="eastAsia" w:eastAsia="仿宋_GB2312" w:cs="Times New Roman"/>
          <w:sz w:val="32"/>
          <w:szCs w:val="32"/>
          <w:highlight w:val="none"/>
        </w:rPr>
        <w:t>单位</w:t>
      </w:r>
      <w:r>
        <w:rPr>
          <w:rFonts w:hint="eastAsia" w:eastAsia="仿宋_GB2312" w:cs="Times New Roman"/>
          <w:sz w:val="32"/>
          <w:szCs w:val="32"/>
          <w:highlight w:val="none"/>
          <w:lang w:eastAsia="zh-CN"/>
        </w:rPr>
        <w:t>）</w:t>
      </w:r>
      <w:r>
        <w:rPr>
          <w:rFonts w:hint="eastAsia" w:eastAsia="仿宋_GB2312" w:cs="Times New Roman"/>
          <w:sz w:val="32"/>
          <w:szCs w:val="32"/>
          <w:highlight w:val="none"/>
        </w:rPr>
        <w:t>公务用车购置费、燃料费、维修费、过路过桥费、保险费、安全奖励费用等支出；公务接待费反映部门</w:t>
      </w:r>
      <w:r>
        <w:rPr>
          <w:rFonts w:hint="eastAsia" w:eastAsia="仿宋_GB2312" w:cs="Times New Roman"/>
          <w:sz w:val="32"/>
          <w:szCs w:val="32"/>
          <w:highlight w:val="none"/>
          <w:lang w:eastAsia="zh-CN"/>
        </w:rPr>
        <w:t>（</w:t>
      </w:r>
      <w:r>
        <w:rPr>
          <w:rFonts w:hint="eastAsia" w:eastAsia="仿宋_GB2312" w:cs="Times New Roman"/>
          <w:sz w:val="32"/>
          <w:szCs w:val="32"/>
          <w:highlight w:val="none"/>
        </w:rPr>
        <w:t>单位</w:t>
      </w:r>
      <w:r>
        <w:rPr>
          <w:rFonts w:hint="eastAsia" w:eastAsia="仿宋_GB2312" w:cs="Times New Roman"/>
          <w:sz w:val="32"/>
          <w:szCs w:val="32"/>
          <w:highlight w:val="none"/>
          <w:lang w:eastAsia="zh-CN"/>
        </w:rPr>
        <w:t>）</w:t>
      </w:r>
      <w:r>
        <w:rPr>
          <w:rFonts w:hint="eastAsia" w:eastAsia="仿宋_GB2312" w:cs="Times New Roman"/>
          <w:sz w:val="32"/>
          <w:szCs w:val="32"/>
          <w:highlight w:val="none"/>
        </w:rPr>
        <w:t>按规定开支的各类公务接待（含外宾接待）支出。</w:t>
      </w:r>
    </w:p>
    <w:p w14:paraId="52381EB2">
      <w:pPr>
        <w:spacing w:line="600" w:lineRule="exact"/>
        <w:ind w:firstLine="643" w:firstLineChars="200"/>
        <w:rPr>
          <w:rFonts w:eastAsia="仿宋_GB2312" w:cs="Times New Roman"/>
          <w:sz w:val="32"/>
          <w:szCs w:val="32"/>
          <w:highlight w:val="none"/>
        </w:rPr>
      </w:pPr>
      <w:r>
        <w:rPr>
          <w:rFonts w:hint="eastAsia" w:eastAsia="仿宋_GB2312" w:cs="Times New Roman"/>
          <w:b/>
          <w:bCs/>
          <w:sz w:val="32"/>
          <w:szCs w:val="32"/>
          <w:highlight w:val="none"/>
        </w:rPr>
        <w:t>九、</w:t>
      </w:r>
      <w:r>
        <w:rPr>
          <w:rFonts w:hint="eastAsia" w:eastAsia="仿宋_GB2312" w:cs="Times New Roman"/>
          <w:b/>
          <w:bCs/>
          <w:sz w:val="32"/>
          <w:szCs w:val="32"/>
          <w:highlight w:val="none"/>
          <w:lang w:val="en-US" w:eastAsia="zh-CN"/>
        </w:rPr>
        <w:t>机构</w:t>
      </w:r>
      <w:r>
        <w:rPr>
          <w:rFonts w:hint="eastAsia" w:eastAsia="仿宋_GB2312" w:cs="Times New Roman"/>
          <w:b/>
          <w:bCs/>
          <w:sz w:val="32"/>
          <w:szCs w:val="32"/>
          <w:highlight w:val="none"/>
        </w:rPr>
        <w:t>运行经费：</w:t>
      </w:r>
      <w:r>
        <w:rPr>
          <w:rFonts w:hint="eastAsia" w:eastAsia="仿宋_GB2312" w:cs="Times New Roman"/>
          <w:sz w:val="32"/>
          <w:szCs w:val="32"/>
          <w:highlight w:val="none"/>
        </w:rPr>
        <w:t>指部门</w:t>
      </w:r>
      <w:r>
        <w:rPr>
          <w:rFonts w:hint="eastAsia" w:eastAsia="仿宋_GB2312" w:cs="Times New Roman"/>
          <w:sz w:val="32"/>
          <w:szCs w:val="32"/>
          <w:highlight w:val="none"/>
          <w:lang w:eastAsia="zh-CN"/>
        </w:rPr>
        <w:t>（</w:t>
      </w:r>
      <w:r>
        <w:rPr>
          <w:rFonts w:hint="eastAsia" w:eastAsia="仿宋_GB2312" w:cs="Times New Roman"/>
          <w:sz w:val="32"/>
          <w:szCs w:val="32"/>
          <w:highlight w:val="none"/>
        </w:rPr>
        <w:t>单位</w:t>
      </w:r>
      <w:r>
        <w:rPr>
          <w:rFonts w:hint="eastAsia" w:eastAsia="仿宋_GB2312" w:cs="Times New Roman"/>
          <w:sz w:val="32"/>
          <w:szCs w:val="32"/>
          <w:highlight w:val="none"/>
          <w:lang w:eastAsia="zh-CN"/>
        </w:rPr>
        <w:t>）</w:t>
      </w:r>
      <w:r>
        <w:rPr>
          <w:rFonts w:hint="eastAsia" w:eastAsia="仿宋_GB2312" w:cs="Times New Roman"/>
          <w:sz w:val="32"/>
          <w:szCs w:val="32"/>
          <w:highlight w:val="none"/>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3A320B7">
      <w:pPr>
        <w:spacing w:line="600" w:lineRule="exact"/>
        <w:jc w:val="center"/>
        <w:rPr>
          <w:rFonts w:ascii="方正小标宋简体" w:hAnsi="方正小标宋简体" w:eastAsia="方正小标宋简体" w:cs="方正小标宋简体"/>
          <w:sz w:val="36"/>
          <w:szCs w:val="36"/>
          <w:highlight w:val="none"/>
        </w:rPr>
      </w:pPr>
    </w:p>
    <w:p w14:paraId="2C9565B0">
      <w:pPr>
        <w:pStyle w:val="2"/>
        <w:tabs>
          <w:tab w:val="left" w:pos="4392"/>
        </w:tabs>
        <w:adjustRightInd/>
        <w:snapToGrid/>
        <w:spacing w:before="0" w:beforeLines="0" w:after="0" w:afterLines="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3" w:name="_Toc21331"/>
      <w:r>
        <w:rPr>
          <w:rFonts w:hint="eastAsia" w:ascii="方正小标宋简体" w:hAnsi="方正小标宋简体" w:eastAsia="方正小标宋简体" w:cs="方正小标宋简体"/>
          <w:b w:val="0"/>
          <w:bCs w:val="0"/>
          <w:sz w:val="36"/>
          <w:szCs w:val="36"/>
          <w:highlight w:val="none"/>
        </w:rPr>
        <w:t>第四部分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预算公开联系方式及信息反馈渠道</w:t>
      </w:r>
      <w:bookmarkEnd w:id="3"/>
    </w:p>
    <w:p w14:paraId="05CC9C1A">
      <w:pPr>
        <w:snapToGrid w:val="0"/>
        <w:spacing w:line="600" w:lineRule="exact"/>
        <w:rPr>
          <w:rFonts w:ascii="方正小标宋简体" w:hAnsi="方正小标宋简体" w:eastAsia="方正小标宋简体" w:cs="方正小标宋简体"/>
          <w:sz w:val="36"/>
          <w:szCs w:val="36"/>
          <w:highlight w:val="none"/>
        </w:rPr>
      </w:pPr>
    </w:p>
    <w:p w14:paraId="6BA83DD4">
      <w:pPr>
        <w:snapToGrid w:val="0"/>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本单位预算公开信息反馈和联系方式：</w:t>
      </w:r>
    </w:p>
    <w:p w14:paraId="412220E8">
      <w:pPr>
        <w:snapToGrid w:val="0"/>
        <w:spacing w:line="600" w:lineRule="exact"/>
        <w:ind w:firstLine="640" w:firstLineChars="200"/>
        <w:rPr>
          <w:rFonts w:hint="default" w:ascii="仿宋_GB2312" w:hAnsi="仿宋_GB2312" w:eastAsia="仿宋_GB2312" w:cs="仿宋_GB2312"/>
          <w:sz w:val="32"/>
          <w:szCs w:val="32"/>
          <w:highlight w:val="none"/>
          <w:lang w:val="en-US" w:eastAsia="zh-CN"/>
        </w:rPr>
        <w:sectPr>
          <w:pgSz w:w="11910" w:h="16840"/>
          <w:pgMar w:top="1580" w:right="1630" w:bottom="280" w:left="1240" w:header="720" w:footer="720" w:gutter="0"/>
          <w:pgNumType w:fmt="numberInDash"/>
          <w:cols w:space="720" w:num="1"/>
        </w:sectPr>
      </w:pPr>
      <w:r>
        <w:rPr>
          <w:rFonts w:hint="eastAsia" w:ascii="仿宋_GB2312" w:hAnsi="仿宋_GB2312" w:eastAsia="仿宋_GB2312" w:cs="仿宋_GB2312"/>
          <w:sz w:val="32"/>
          <w:szCs w:val="32"/>
          <w:highlight w:val="none"/>
        </w:rPr>
        <w:t>联系人：</w:t>
      </w:r>
      <w:r>
        <w:rPr>
          <w:rFonts w:hint="eastAsia" w:ascii="仿宋_GB2312" w:hAnsi="仿宋_GB2312" w:eastAsia="仿宋_GB2312" w:cs="仿宋_GB2312"/>
          <w:sz w:val="32"/>
          <w:szCs w:val="32"/>
          <w:highlight w:val="none"/>
          <w:lang w:val="en-US" w:eastAsia="zh-CN"/>
        </w:rPr>
        <w:t>阿云嘎</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联系电话：</w:t>
      </w:r>
      <w:r>
        <w:rPr>
          <w:rFonts w:hint="eastAsia" w:ascii="仿宋_GB2312" w:hAnsi="仿宋_GB2312" w:eastAsia="仿宋_GB2312" w:cs="仿宋_GB2312"/>
          <w:sz w:val="32"/>
          <w:szCs w:val="32"/>
          <w:highlight w:val="none"/>
          <w:lang w:val="en-US" w:eastAsia="zh-CN"/>
        </w:rPr>
        <w:t>0477-8395377</w:t>
      </w:r>
    </w:p>
    <w:p w14:paraId="03D418D2"/>
    <w:p w14:paraId="6465CB13"/>
    <w:sectPr>
      <w:foot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503050405090304"/>
    <w:charset w:val="00"/>
    <w:family w:val="auto"/>
    <w:pitch w:val="default"/>
    <w:sig w:usb0="00000000" w:usb1="00000000" w:usb2="00000001" w:usb3="00000000" w:csb0="400001BF" w:csb1="DFF70000"/>
  </w:font>
  <w:font w:name="楷体">
    <w:panose1 w:val="02010609060101010101"/>
    <w:charset w:val="86"/>
    <w:family w:val="modern"/>
    <w:pitch w:val="default"/>
    <w:sig w:usb0="800002BF" w:usb1="38CF7CFA" w:usb2="00000016" w:usb3="00000000" w:csb0="00040001" w:csb1="00000000"/>
  </w:font>
  <w:font w:name="kai_ti_gb2312">
    <w:altName w:val="Times New Roman"/>
    <w:panose1 w:val="00000000000000000000"/>
    <w:charset w:val="00"/>
    <w:family w:val="auto"/>
    <w:pitch w:val="default"/>
    <w:sig w:usb0="00000000" w:usb1="00000000" w:usb2="00000000" w:usb3="00000000" w:csb0="00040001" w:csb1="00000000"/>
  </w:font>
  <w:font w:name="fang_song_gb2312">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21F40">
    <w:pPr>
      <w:pStyle w:val="6"/>
      <w:jc w:val="center"/>
    </w:pPr>
    <w:r>
      <mc:AlternateContent>
        <mc:Choice Requires="wps">
          <w:drawing>
            <wp:anchor distT="0" distB="0" distL="114300" distR="114300" simplePos="0" relativeHeight="251660288"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a:noFill/>
                      </a:ln>
                    </wps:spPr>
                    <wps:txbx>
                      <w:txbxContent>
                        <w:p w14:paraId="0427F168">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lIns="0" tIns="0" rIns="0" bIns="0" upright="1"/>
                  </wps:wsp>
                </a:graphicData>
              </a:graphic>
            </wp:anchor>
          </w:drawing>
        </mc:Choice>
        <mc:Fallback>
          <w:pict>
            <v:shape id="_x0000_s1026" o:spid="_x0000_s1026" o:spt="202" type="#_x0000_t202" style="position:absolute;left:0pt;margin-left:204.8pt;margin-top:1.4pt;height:27.7pt;width:62.65pt;mso-position-horizontal-relative:margin;z-index:251660288;mso-width-relative:page;mso-height-relative:page;" filled="f" stroked="f" coordsize="21600,21600" o:gfxdata="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qtmuT2AAAAAgBAAAPAAAAAAAAAAEAIAAAACIAAABkcnMvZG93bnJldi54bWxQSwEC&#10;FAAUAAAACACHTuJARLTi/7sBAABxAwAADgAAAAAAAAABACAAAAAnAQAAZHJzL2Uyb0RvYy54bWxQ&#10;SwUGAAAAAAYABgBZAQAAVAUAAAAA&#10;">
              <v:fill on="f" focussize="0,0"/>
              <v:stroke on="f"/>
              <v:imagedata o:title=""/>
              <o:lock v:ext="edit" aspectratio="f"/>
              <v:textbox inset="0mm,0mm,0mm,0mm">
                <w:txbxContent>
                  <w:p w14:paraId="0427F168">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14:paraId="10256565">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EEF3C">
    <w:pPr>
      <w:pStyle w:val="4"/>
      <w:spacing w:line="225" w:lineRule="auto"/>
      <w:ind w:left="4222"/>
      <w:rPr>
        <w:sz w:val="23"/>
        <w:szCs w:val="23"/>
      </w:rPr>
    </w:pPr>
    <w:r>
      <w:rPr>
        <w:spacing w:val="18"/>
        <w:sz w:val="23"/>
        <w:szCs w:val="23"/>
      </w:rPr>
      <w:t>- 6</w:t>
    </w:r>
    <w:r>
      <w:rPr>
        <w:spacing w:val="18"/>
        <w:w w:val="101"/>
        <w:sz w:val="23"/>
        <w:szCs w:val="23"/>
      </w:rPr>
      <w:t xml:space="preserve"> </w:t>
    </w:r>
    <w:r>
      <w:rPr>
        <w:spacing w:val="18"/>
        <w:sz w:val="23"/>
        <w:szCs w:val="23"/>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7C9AB">
    <w:pPr>
      <w:pStyle w:val="4"/>
      <w:spacing w:line="227" w:lineRule="auto"/>
      <w:ind w:left="4093"/>
      <w:rPr>
        <w:sz w:val="23"/>
        <w:szCs w:val="23"/>
      </w:rPr>
    </w:pPr>
    <w:r>
      <w:rPr>
        <w:spacing w:val="18"/>
        <w:sz w:val="23"/>
        <w:szCs w:val="23"/>
      </w:rPr>
      <w:t>- 7</w:t>
    </w:r>
    <w:r>
      <w:rPr>
        <w:spacing w:val="18"/>
        <w:w w:val="101"/>
        <w:sz w:val="23"/>
        <w:szCs w:val="23"/>
      </w:rPr>
      <w:t xml:space="preserve"> </w:t>
    </w:r>
    <w:r>
      <w:rPr>
        <w:spacing w:val="18"/>
        <w:sz w:val="23"/>
        <w:szCs w:val="23"/>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8D6FA">
    <w:pPr>
      <w:pStyle w:val="4"/>
      <w:spacing w:line="225" w:lineRule="auto"/>
      <w:ind w:left="4093"/>
      <w:rPr>
        <w:rFonts w:hint="eastAsia"/>
        <w:spacing w:val="18"/>
        <w:sz w:val="23"/>
        <w:szCs w:val="23"/>
        <w:lang w:eastAsia="zh-CN"/>
      </w:rPr>
    </w:pPr>
    <w:r>
      <w:rPr>
        <w:spacing w:val="18"/>
        <w:sz w:val="23"/>
        <w:szCs w:val="23"/>
      </w:rPr>
      <w:t>- 8</w:t>
    </w:r>
    <w:r>
      <w:rPr>
        <w:spacing w:val="18"/>
        <w:w w:val="101"/>
        <w:sz w:val="23"/>
        <w:szCs w:val="23"/>
      </w:rPr>
      <w:t xml:space="preserve"> </w:t>
    </w:r>
    <w:r>
      <w:rPr>
        <w:spacing w:val="18"/>
        <w:sz w:val="23"/>
        <w:szCs w:val="23"/>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C9658">
    <w:pPr>
      <w:pStyle w:val="6"/>
      <w:jc w:val="center"/>
    </w:pPr>
  </w:p>
  <w:p w14:paraId="7792CD58">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2845A">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1664B0"/>
    <w:rsid w:val="0B7F426C"/>
    <w:rsid w:val="151664B0"/>
    <w:rsid w:val="16D117C1"/>
    <w:rsid w:val="6E5E3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2">
    <w:name w:val="heading 2"/>
    <w:basedOn w:val="1"/>
    <w:next w:val="1"/>
    <w:qFormat/>
    <w:uiPriority w:val="0"/>
    <w:pPr>
      <w:keepNext/>
      <w:keepLines/>
      <w:adjustRightInd w:val="0"/>
      <w:snapToGrid w:val="0"/>
      <w:spacing w:before="260" w:beforeLines="0" w:after="260" w:afterLines="0" w:line="416" w:lineRule="auto"/>
      <w:ind w:firstLine="600" w:firstLineChars="200"/>
      <w:outlineLvl w:val="1"/>
    </w:pPr>
    <w:rPr>
      <w:rFonts w:ascii="Arial" w:hAnsi="Arial" w:eastAsia="Symbol"/>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ody Text"/>
    <w:basedOn w:val="1"/>
    <w:qFormat/>
    <w:uiPriority w:val="0"/>
    <w:pPr>
      <w:spacing w:after="120" w:afterLines="0"/>
    </w:pPr>
  </w:style>
  <w:style w:type="paragraph" w:styleId="5">
    <w:name w:val="Body Text Indent"/>
    <w:basedOn w:val="1"/>
    <w:qFormat/>
    <w:uiPriority w:val="0"/>
    <w:pPr>
      <w:spacing w:after="120" w:afterLines="0"/>
      <w:ind w:left="420" w:leftChars="200"/>
      <w:jc w:val="left"/>
    </w:pPr>
    <w:rPr>
      <w:rFonts w:hint="eastAsia" w:ascii="宋体" w:hAnsi="宋体" w:eastAsia="宋体"/>
      <w:kern w:val="0"/>
      <w:sz w:val="24"/>
      <w:szCs w:val="24"/>
    </w:rPr>
  </w:style>
  <w:style w:type="paragraph" w:styleId="6">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 w:type="paragraph" w:styleId="7">
    <w:name w:val="Body Text First Indent 2"/>
    <w:basedOn w:val="5"/>
    <w:qFormat/>
    <w:uiPriority w:val="0"/>
    <w:pPr>
      <w:ind w:firstLine="420"/>
    </w:pPr>
  </w:style>
  <w:style w:type="paragraph" w:customStyle="1" w:styleId="10">
    <w:name w:val="Table Text"/>
    <w:basedOn w:val="1"/>
    <w:semiHidden/>
    <w:qFormat/>
    <w:uiPriority w:val="0"/>
    <w:rPr>
      <w:rFonts w:ascii="微软雅黑" w:hAnsi="微软雅黑" w:eastAsia="微软雅黑" w:cs="微软雅黑"/>
      <w:sz w:val="31"/>
      <w:szCs w:val="31"/>
      <w:lang w:val="en-US" w:eastAsia="en-US" w:bidi="ar-SA"/>
    </w:rPr>
  </w:style>
  <w:style w:type="table" w:customStyle="1" w:styleId="1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5952</Words>
  <Characters>6514</Characters>
  <Lines>0</Lines>
  <Paragraphs>0</Paragraphs>
  <TotalTime>30</TotalTime>
  <ScaleCrop>false</ScaleCrop>
  <LinksUpToDate>false</LinksUpToDate>
  <CharactersWithSpaces>6658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2026-03-02T09:01:00Z</dcterms:created>
  <dc:creator>北柒陌人。</dc:creator>
  <cp:lastModifiedBy>澈澈</cp:lastModifiedBy>
  <dcterms:modified xsi:type="dcterms:W3CDTF">2026-03-05T06:54:39Z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10FCFA11A4854AF69573880EA2A795E5_13</vt:lpwstr>
  </property>
  <property fmtid="{D5CDD505-2E9C-101B-9397-08002B2CF9AE}" pid="4" name="KSOTemplateDocerSaveRecord">
    <vt:lpwstr>eyJoZGlkIjoiNWVhNzU1ZDQyNmQ0NzljNTY3YTdhZGNlMzk0ODRiN2EiLCJ1c2VySWQiOiI2OTk2OTU0MDUifQ==</vt:lpwstr>
  </property>
</Properties>
</file>