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sz w:val="24"/>
        </w:rPr>
      </w:pPr>
    </w:p>
    <w:p>
      <w:pPr>
        <w:spacing w:line="360" w:lineRule="auto"/>
        <w:jc w:val="center"/>
        <w:rPr>
          <w:rFonts w:ascii="宋体" w:hAnsi="宋体"/>
          <w:b/>
          <w:bCs/>
          <w:sz w:val="52"/>
          <w:szCs w:val="52"/>
        </w:rPr>
      </w:pPr>
      <w:r>
        <w:rPr>
          <w:rFonts w:ascii="宋体" w:hAnsi="宋体"/>
          <w:b/>
          <w:bCs/>
          <w:sz w:val="52"/>
          <w:szCs w:val="52"/>
        </w:rPr>
        <w:t>2024</w:t>
      </w:r>
      <w:r>
        <w:rPr>
          <w:rFonts w:hint="eastAsia" w:ascii="宋体" w:hAnsi="宋体"/>
          <w:b/>
          <w:bCs/>
          <w:sz w:val="52"/>
          <w:szCs w:val="52"/>
        </w:rPr>
        <w:t>年度内蒙古自治区鄂尔多斯市中心医院（内蒙古自治区超声影像研究所）</w:t>
      </w:r>
    </w:p>
    <w:p>
      <w:pPr>
        <w:spacing w:line="360" w:lineRule="auto"/>
        <w:jc w:val="center"/>
        <w:rPr>
          <w:rFonts w:ascii="宋体" w:hAnsi="宋体"/>
          <w:b/>
          <w:bCs/>
          <w:sz w:val="52"/>
          <w:szCs w:val="52"/>
        </w:rPr>
      </w:pPr>
      <w:r>
        <w:rPr>
          <w:rFonts w:hint="eastAsia" w:ascii="宋体" w:hAnsi="宋体"/>
          <w:b/>
          <w:bCs/>
          <w:sz w:val="52"/>
          <w:szCs w:val="52"/>
        </w:rPr>
        <w:t>决算公开报告</w:t>
      </w: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360" w:lineRule="auto"/>
        <w:jc w:val="center"/>
        <w:rPr>
          <w:rFonts w:ascii="宋体" w:hAnsi="宋体"/>
          <w:b/>
          <w:bCs/>
          <w:sz w:val="52"/>
          <w:szCs w:val="52"/>
        </w:rPr>
      </w:pPr>
    </w:p>
    <w:p>
      <w:pPr>
        <w:spacing w:line="560" w:lineRule="exact"/>
        <w:ind w:left="4794" w:leftChars="1064" w:hanging="2560" w:hangingChars="800"/>
        <w:jc w:val="left"/>
        <w:rPr>
          <w:rFonts w:hAnsi="仿宋_GB2312" w:cs="仿宋_GB2312"/>
          <w:sz w:val="32"/>
          <w:szCs w:val="32"/>
        </w:rPr>
      </w:pPr>
      <w:r>
        <w:rPr>
          <w:rFonts w:hAnsi="仿宋_GB2312" w:cs="仿宋_GB2312"/>
          <w:sz w:val="32"/>
          <w:szCs w:val="32"/>
        </w:rPr>
        <w:t>单位名称：</w:t>
      </w:r>
      <w:r>
        <w:rPr>
          <w:rFonts w:eastAsia="方正仿宋_GB2312"/>
          <w:sz w:val="32"/>
          <w:szCs w:val="32"/>
        </w:rPr>
        <w:t>内蒙古自治区鄂尔多斯市中心医</w:t>
      </w:r>
      <w:r>
        <w:rPr>
          <w:rFonts w:hint="eastAsia" w:eastAsia="方正仿宋_GB2312"/>
          <w:sz w:val="32"/>
          <w:szCs w:val="32"/>
        </w:rPr>
        <w:t>院</w:t>
      </w:r>
      <w:r>
        <w:rPr>
          <w:rFonts w:eastAsia="方正仿宋_GB2312"/>
          <w:sz w:val="32"/>
          <w:szCs w:val="32"/>
        </w:rPr>
        <w:t>（内蒙古自治区超声影像研究所）</w:t>
      </w:r>
    </w:p>
    <w:p>
      <w:pPr>
        <w:spacing w:line="360" w:lineRule="auto"/>
        <w:ind w:firstLine="2240" w:firstLineChars="700"/>
        <w:rPr>
          <w:rFonts w:hAnsi="仿宋_GB2312" w:cs="仿宋_GB2312"/>
          <w:sz w:val="32"/>
          <w:szCs w:val="32"/>
        </w:rPr>
      </w:pPr>
      <w:r>
        <w:rPr>
          <w:rFonts w:hAnsi="仿宋_GB2312" w:cs="仿宋_GB2312"/>
          <w:sz w:val="32"/>
          <w:szCs w:val="32"/>
        </w:rPr>
        <w:t>单位负责人：</w:t>
      </w:r>
      <w:r>
        <w:rPr>
          <w:rFonts w:eastAsia="方正仿宋_GB2312"/>
          <w:sz w:val="32"/>
          <w:szCs w:val="32"/>
        </w:rPr>
        <w:t>折占飞</w:t>
      </w:r>
    </w:p>
    <w:p>
      <w:pPr>
        <w:spacing w:line="360" w:lineRule="auto"/>
        <w:ind w:firstLine="2240" w:firstLineChars="700"/>
      </w:pPr>
      <w:r>
        <w:rPr>
          <w:rFonts w:hAnsi="仿宋_GB2312" w:cs="仿宋_GB2312"/>
          <w:sz w:val="32"/>
          <w:szCs w:val="32"/>
        </w:rPr>
        <w:t>财务负责人：</w:t>
      </w:r>
      <w:r>
        <w:rPr>
          <w:rFonts w:eastAsia="方正仿宋_GB2312"/>
          <w:sz w:val="32"/>
          <w:szCs w:val="32"/>
        </w:rPr>
        <w:t>王莉</w:t>
      </w:r>
    </w:p>
    <w:p>
      <w:pPr>
        <w:spacing w:line="360" w:lineRule="auto"/>
        <w:ind w:firstLine="2240" w:firstLineChars="700"/>
        <w:rPr>
          <w:rFonts w:hAnsi="仿宋_GB2312" w:cs="仿宋_GB2312"/>
          <w:sz w:val="32"/>
          <w:szCs w:val="32"/>
        </w:rPr>
      </w:pPr>
      <w:r>
        <w:rPr>
          <w:rFonts w:hAnsi="仿宋_GB2312" w:cs="仿宋_GB2312"/>
          <w:sz w:val="32"/>
          <w:szCs w:val="32"/>
        </w:rPr>
        <w:t>编</w:t>
      </w:r>
      <w:r>
        <w:rPr>
          <w:rFonts w:hint="eastAsia" w:hAnsi="仿宋_GB2312" w:cs="仿宋_GB2312"/>
          <w:sz w:val="32"/>
          <w:szCs w:val="32"/>
        </w:rPr>
        <w:t xml:space="preserve"> </w:t>
      </w:r>
      <w:r>
        <w:rPr>
          <w:rFonts w:hAnsi="仿宋_GB2312" w:cs="仿宋_GB2312"/>
          <w:sz w:val="32"/>
          <w:szCs w:val="32"/>
        </w:rPr>
        <w:t>制</w:t>
      </w:r>
      <w:r>
        <w:rPr>
          <w:rFonts w:hint="eastAsia" w:hAnsi="仿宋_GB2312" w:cs="仿宋_GB2312"/>
          <w:sz w:val="32"/>
          <w:szCs w:val="32"/>
        </w:rPr>
        <w:t xml:space="preserve"> </w:t>
      </w:r>
      <w:r>
        <w:rPr>
          <w:rFonts w:hAnsi="仿宋_GB2312" w:cs="仿宋_GB2312"/>
          <w:sz w:val="32"/>
          <w:szCs w:val="32"/>
        </w:rPr>
        <w:t>人：</w:t>
      </w:r>
      <w:r>
        <w:rPr>
          <w:rFonts w:hint="eastAsia" w:hAnsi="仿宋_GB2312" w:cs="仿宋_GB2312"/>
          <w:sz w:val="32"/>
          <w:szCs w:val="32"/>
        </w:rPr>
        <w:t xml:space="preserve">  </w:t>
      </w:r>
      <w:r>
        <w:rPr>
          <w:rFonts w:eastAsia="方正仿宋_GB2312"/>
          <w:sz w:val="32"/>
          <w:szCs w:val="32"/>
        </w:rPr>
        <w:t>李彩霞</w:t>
      </w:r>
    </w:p>
    <w:p>
      <w:pPr>
        <w:spacing w:line="360" w:lineRule="auto"/>
        <w:ind w:firstLine="2240" w:firstLineChars="700"/>
        <w:rPr>
          <w:rFonts w:hAnsi="仿宋_GB2312" w:cs="仿宋_GB2312"/>
          <w:sz w:val="32"/>
          <w:szCs w:val="32"/>
        </w:rPr>
      </w:pPr>
      <w:r>
        <w:rPr>
          <w:rFonts w:hAnsi="仿宋_GB2312" w:cs="仿宋_GB2312"/>
          <w:sz w:val="32"/>
          <w:szCs w:val="32"/>
        </w:rPr>
        <w:t>报送日期：2025年9月</w:t>
      </w:r>
    </w:p>
    <w:p>
      <w:pPr>
        <w:keepNext/>
        <w:keepLines/>
        <w:tabs>
          <w:tab w:val="left" w:pos="6669"/>
        </w:tabs>
        <w:ind w:left="198"/>
        <w:jc w:val="center"/>
        <w:rPr>
          <w:rFonts w:ascii="方正小标宋简体" w:eastAsia="方正小标宋简体"/>
          <w:sz w:val="44"/>
        </w:rPr>
        <w:sectPr>
          <w:footerReference r:id="rId3" w:type="default"/>
          <w:pgSz w:w="12240" w:h="15840"/>
          <w:pgMar w:top="1440" w:right="1800" w:bottom="1440" w:left="1800" w:header="720" w:footer="720" w:gutter="0"/>
          <w:cols w:space="720" w:num="1"/>
        </w:sectPr>
      </w:pPr>
    </w:p>
    <w:p>
      <w:pPr>
        <w:widowControl/>
        <w:spacing w:after="240"/>
        <w:jc w:val="center"/>
        <w:rPr>
          <w:rFonts w:eastAsia="Times New Roman"/>
          <w:kern w:val="0"/>
          <w:sz w:val="24"/>
        </w:rPr>
      </w:pPr>
      <w:bookmarkStart w:id="0" w:name="a000"/>
      <w:r>
        <w:rPr>
          <w:rFonts w:ascii="仿宋_GB2312" w:hAnsi="仿宋_GB2312" w:eastAsia="仿宋_GB2312" w:cs="仿宋_GB2312"/>
          <w:b/>
          <w:bCs/>
          <w:kern w:val="0"/>
          <w:sz w:val="54"/>
          <w:szCs w:val="54"/>
        </w:rPr>
        <w:t>目 录</w:t>
      </w:r>
    </w:p>
    <w:p>
      <w:pPr>
        <w:widowControl/>
        <w:spacing w:before="240" w:after="240"/>
        <w:jc w:val="left"/>
        <w:rPr>
          <w:rFonts w:eastAsia="Times New Roman"/>
          <w:kern w:val="0"/>
          <w:sz w:val="24"/>
        </w:rPr>
      </w:pPr>
      <w:r>
        <w:rPr>
          <w:rFonts w:eastAsia="Times New Roman"/>
          <w:b/>
          <w:bCs/>
          <w:kern w:val="0"/>
          <w:sz w:val="24"/>
        </w:rPr>
        <w:t> </w:t>
      </w:r>
    </w:p>
    <w:p>
      <w:pPr>
        <w:autoSpaceDE w:val="0"/>
        <w:autoSpaceDN w:val="0"/>
        <w:adjustRightInd w:val="0"/>
        <w:spacing w:line="360" w:lineRule="auto"/>
        <w:rPr>
          <w:rFonts w:ascii="黑体" w:eastAsia="黑体"/>
          <w:sz w:val="32"/>
        </w:rPr>
      </w:pPr>
      <w:r>
        <w:rPr>
          <w:rFonts w:hint="eastAsia" w:ascii="黑体" w:eastAsia="黑体"/>
          <w:sz w:val="32"/>
        </w:rPr>
        <w:t>第一部分单位概况</w:t>
      </w:r>
    </w:p>
    <w:p>
      <w:pPr>
        <w:autoSpaceDE w:val="0"/>
        <w:autoSpaceDN w:val="0"/>
        <w:adjustRightInd w:val="0"/>
        <w:spacing w:line="360" w:lineRule="auto"/>
        <w:rPr>
          <w:rFonts w:ascii="仿宋_GB2312" w:eastAsia="仿宋_GB2312"/>
          <w:sz w:val="32"/>
        </w:rPr>
      </w:pPr>
      <w:r>
        <w:rPr>
          <w:rFonts w:hint="eastAsia" w:ascii="仿宋_GB2312" w:eastAsia="仿宋_GB2312"/>
          <w:sz w:val="32"/>
        </w:rPr>
        <w:t>一、主要职能、职责</w:t>
      </w:r>
    </w:p>
    <w:p>
      <w:pPr>
        <w:autoSpaceDE w:val="0"/>
        <w:autoSpaceDN w:val="0"/>
        <w:adjustRightInd w:val="0"/>
        <w:spacing w:line="360" w:lineRule="auto"/>
        <w:rPr>
          <w:rFonts w:ascii="仿宋_GB2312" w:eastAsia="仿宋_GB2312"/>
          <w:sz w:val="32"/>
        </w:rPr>
      </w:pPr>
      <w:r>
        <w:rPr>
          <w:rFonts w:hint="eastAsia" w:ascii="仿宋_GB2312" w:eastAsia="仿宋_GB2312"/>
          <w:sz w:val="32"/>
        </w:rPr>
        <w:t>二、单位机构设置及决算单位构成情况</w:t>
      </w:r>
    </w:p>
    <w:p>
      <w:pPr>
        <w:autoSpaceDE w:val="0"/>
        <w:autoSpaceDN w:val="0"/>
        <w:adjustRightInd w:val="0"/>
        <w:spacing w:line="360" w:lineRule="auto"/>
        <w:rPr>
          <w:rFonts w:ascii="仿宋_GB2312" w:eastAsia="仿宋_GB2312"/>
          <w:sz w:val="32"/>
        </w:rPr>
      </w:pPr>
      <w:r>
        <w:rPr>
          <w:rFonts w:hint="eastAsia" w:ascii="仿宋_GB2312" w:eastAsia="仿宋_GB2312"/>
          <w:sz w:val="32"/>
        </w:rPr>
        <w:t>三、2024年度单位主要工作完成情况</w:t>
      </w:r>
    </w:p>
    <w:p>
      <w:pPr>
        <w:autoSpaceDE w:val="0"/>
        <w:autoSpaceDN w:val="0"/>
        <w:adjustRightInd w:val="0"/>
        <w:spacing w:line="360" w:lineRule="auto"/>
        <w:rPr>
          <w:rFonts w:ascii="黑体" w:eastAsia="黑体"/>
          <w:sz w:val="32"/>
        </w:rPr>
      </w:pPr>
      <w:r>
        <w:rPr>
          <w:rFonts w:hint="eastAsia" w:ascii="黑体" w:eastAsia="黑体"/>
          <w:sz w:val="32"/>
        </w:rPr>
        <w:t>第二部分单位决算情况说明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一、收入支出决算总体情况说明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二、收入决算情况说明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三、支出决算情况说明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四、财政拨款收入支出决算总体情况说明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五、一般公共预算财政拨款支出决算情况说明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六、一般公共预算财政拨款基本支出决算情况说明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七、一般公共预算财政拨款项目支出决算情况说明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八、财政拨款“三公”经费支出决算情况说明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九、政府性基金预算财政拨款支出决算情况说明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十、国有资本经营预算财政拨款支出决算情况说明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十一、公用经费支出决算情况说明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十二、政府采购支出决算情况说明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十三、国有资产占用情况说明</w:t>
      </w:r>
    </w:p>
    <w:p>
      <w:pPr>
        <w:autoSpaceDE w:val="0"/>
        <w:autoSpaceDN w:val="0"/>
        <w:adjustRightInd w:val="0"/>
        <w:spacing w:line="360" w:lineRule="auto"/>
        <w:rPr>
          <w:rFonts w:ascii="仿宋_GB2312" w:eastAsia="仿宋_GB2312"/>
          <w:sz w:val="32"/>
        </w:rPr>
      </w:pPr>
      <w:r>
        <w:rPr>
          <w:rFonts w:hint="eastAsia" w:ascii="仿宋_GB2312" w:eastAsia="仿宋_GB2312"/>
          <w:sz w:val="32"/>
        </w:rPr>
        <w:t>十四、预算绩效情况说明</w:t>
      </w:r>
    </w:p>
    <w:p>
      <w:pPr>
        <w:autoSpaceDE w:val="0"/>
        <w:autoSpaceDN w:val="0"/>
        <w:adjustRightInd w:val="0"/>
        <w:spacing w:line="360" w:lineRule="auto"/>
        <w:rPr>
          <w:rFonts w:ascii="黑体" w:eastAsia="黑体"/>
          <w:sz w:val="32"/>
        </w:rPr>
      </w:pPr>
      <w:r>
        <w:rPr>
          <w:rFonts w:hint="eastAsia" w:ascii="黑体" w:eastAsia="黑体"/>
          <w:sz w:val="32"/>
        </w:rPr>
        <w:t>第三部分 名词解释</w:t>
      </w:r>
    </w:p>
    <w:p>
      <w:pPr>
        <w:autoSpaceDE w:val="0"/>
        <w:autoSpaceDN w:val="0"/>
        <w:adjustRightInd w:val="0"/>
        <w:spacing w:line="360" w:lineRule="auto"/>
        <w:rPr>
          <w:rFonts w:ascii="黑体" w:eastAsia="黑体"/>
          <w:sz w:val="32"/>
        </w:rPr>
      </w:pPr>
      <w:r>
        <w:rPr>
          <w:rFonts w:hint="eastAsia" w:ascii="黑体" w:eastAsia="黑体"/>
          <w:sz w:val="32"/>
        </w:rPr>
        <w:t>第四部分 决算公开联系方式及信息反馈渠道</w:t>
      </w:r>
    </w:p>
    <w:p>
      <w:pPr>
        <w:autoSpaceDE w:val="0"/>
        <w:autoSpaceDN w:val="0"/>
        <w:adjustRightInd w:val="0"/>
        <w:spacing w:line="360" w:lineRule="auto"/>
        <w:rPr>
          <w:rFonts w:ascii="黑体" w:eastAsia="黑体"/>
          <w:sz w:val="32"/>
        </w:rPr>
      </w:pPr>
      <w:r>
        <w:rPr>
          <w:rFonts w:hint="eastAsia" w:ascii="黑体" w:eastAsia="黑体"/>
          <w:sz w:val="32"/>
        </w:rPr>
        <w:t>第五部分单位决算表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一、收入支出决算总表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二、收入决算表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三、支出决算表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四、财政拨款收入支出决算总表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五、一般公共预算财政拨款支出决算表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六、一般公共预算财政拨款基本支出决算明细表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七、一般公共预算财政拨款项目支出决算明细表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八、政府性基金预算财政拨款收入支出决算表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九、国有资本经营预算财政拨款收入支出决算表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十、财政拨款“三公”经费支出决算表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十一、机关运行经费支出、国有资产占用情况及政府采购支出信息表</w:t>
      </w:r>
    </w:p>
    <w:p>
      <w:pPr>
        <w:widowControl/>
        <w:spacing w:before="240" w:after="240"/>
        <w:rPr>
          <w:rFonts w:eastAsia="Times New Roman"/>
          <w:kern w:val="0"/>
          <w:sz w:val="24"/>
        </w:rPr>
      </w:pPr>
    </w:p>
    <w:p>
      <w:pPr>
        <w:widowControl/>
        <w:spacing w:before="240" w:after="240"/>
        <w:rPr>
          <w:rFonts w:eastAsia="Times New Roman"/>
          <w:kern w:val="0"/>
          <w:sz w:val="24"/>
        </w:rPr>
      </w:pPr>
    </w:p>
    <w:p>
      <w:pPr>
        <w:widowControl/>
        <w:spacing w:before="240" w:after="240"/>
        <w:rPr>
          <w:rFonts w:eastAsia="Times New Roman"/>
          <w:kern w:val="0"/>
          <w:sz w:val="24"/>
        </w:rPr>
      </w:pPr>
    </w:p>
    <w:p>
      <w:pPr>
        <w:widowControl/>
        <w:spacing w:before="240" w:after="240"/>
        <w:rPr>
          <w:rFonts w:eastAsia="Times New Roman"/>
          <w:kern w:val="0"/>
          <w:sz w:val="24"/>
        </w:rPr>
      </w:pPr>
    </w:p>
    <w:p>
      <w:pPr>
        <w:widowControl/>
        <w:spacing w:before="240" w:after="240"/>
        <w:rPr>
          <w:rFonts w:eastAsia="Times New Roman"/>
          <w:kern w:val="0"/>
          <w:sz w:val="24"/>
        </w:rPr>
      </w:pPr>
    </w:p>
    <w:p>
      <w:pPr>
        <w:widowControl/>
        <w:spacing w:before="240" w:after="240"/>
        <w:rPr>
          <w:rFonts w:eastAsia="Times New Roman"/>
          <w:kern w:val="0"/>
          <w:sz w:val="24"/>
        </w:rPr>
      </w:pPr>
    </w:p>
    <w:p>
      <w:pPr>
        <w:widowControl/>
        <w:spacing w:before="240" w:after="240"/>
        <w:rPr>
          <w:rFonts w:eastAsia="Times New Roman"/>
          <w:kern w:val="0"/>
          <w:sz w:val="24"/>
        </w:rPr>
      </w:pPr>
    </w:p>
    <w:p>
      <w:pPr>
        <w:widowControl/>
        <w:spacing w:before="240" w:after="240"/>
        <w:rPr>
          <w:rFonts w:eastAsia="Times New Roman"/>
          <w:kern w:val="0"/>
          <w:sz w:val="24"/>
        </w:rPr>
      </w:pPr>
    </w:p>
    <w:p>
      <w:pPr>
        <w:widowControl/>
        <w:spacing w:before="240" w:after="240"/>
        <w:rPr>
          <w:rFonts w:eastAsia="Times New Roman"/>
          <w:kern w:val="0"/>
          <w:sz w:val="24"/>
        </w:rPr>
      </w:pPr>
    </w:p>
    <w:p>
      <w:pPr>
        <w:pStyle w:val="5"/>
        <w:tabs>
          <w:tab w:val="left" w:pos="4392"/>
        </w:tabs>
        <w:autoSpaceDE w:val="0"/>
        <w:autoSpaceDN w:val="0"/>
        <w:adjustRightInd w:val="0"/>
        <w:spacing w:line="360" w:lineRule="auto"/>
        <w:jc w:val="center"/>
        <w:rPr>
          <w:rFonts w:ascii="方正小标宋简体" w:hAnsi="Times New Roman" w:eastAsia="方正小标宋简体"/>
          <w:bCs w:val="0"/>
          <w:sz w:val="36"/>
          <w:szCs w:val="24"/>
        </w:rPr>
      </w:pPr>
      <w:r>
        <w:rPr>
          <w:rFonts w:hint="eastAsia" w:ascii="方正小标宋简体" w:hAnsi="Times New Roman" w:eastAsia="方正小标宋简体"/>
          <w:bCs w:val="0"/>
          <w:sz w:val="36"/>
          <w:szCs w:val="24"/>
        </w:rPr>
        <w:t>第一部分  单位概况</w:t>
      </w:r>
    </w:p>
    <w:p>
      <w:pPr>
        <w:widowControl/>
        <w:spacing w:before="240" w:after="240"/>
        <w:jc w:val="left"/>
        <w:rPr>
          <w:rFonts w:ascii="黑体" w:eastAsia="黑体"/>
          <w:b/>
          <w:sz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cs="Calibri"/>
          <w:b/>
          <w:bCs/>
          <w:kern w:val="0"/>
          <w:sz w:val="27"/>
          <w:szCs w:val="27"/>
        </w:rPr>
        <w:t xml:space="preserve">   </w:t>
      </w:r>
      <w:r>
        <w:rPr>
          <w:rFonts w:hint="eastAsia" w:ascii="黑体" w:eastAsia="黑体"/>
          <w:b/>
          <w:sz w:val="32"/>
        </w:rPr>
        <w:t>一、主要职能、职责</w:t>
      </w:r>
    </w:p>
    <w:p>
      <w:pPr>
        <w:autoSpaceDE w:val="0"/>
        <w:autoSpaceDN w:val="0"/>
        <w:adjustRightInd w:val="0"/>
        <w:spacing w:line="600" w:lineRule="exact"/>
        <w:ind w:firstLine="640" w:firstLineChars="200"/>
        <w:rPr>
          <w:rFonts w:ascii="仿宋_GB2312" w:eastAsia="仿宋_GB2312"/>
          <w:sz w:val="32"/>
        </w:rPr>
      </w:pPr>
      <w:r>
        <w:rPr>
          <w:rFonts w:ascii="仿宋_GB2312" w:eastAsia="仿宋_GB2312"/>
          <w:sz w:val="32"/>
        </w:rPr>
        <w:t>本单位是本地区及相邻省市地区设备先进、功能齐全、技术力量雄厚、集医疗、教学、科研、预防、保健康复于一体的国家三级甲等综合性医院，是内蒙古医科大学临床医学院。</w:t>
      </w:r>
    </w:p>
    <w:p>
      <w:pPr>
        <w:autoSpaceDE w:val="0"/>
        <w:autoSpaceDN w:val="0"/>
        <w:adjustRightInd w:val="0"/>
        <w:spacing w:line="600" w:lineRule="exact"/>
        <w:ind w:firstLine="640"/>
        <w:rPr>
          <w:rFonts w:ascii="仿宋_GB2312" w:eastAsia="仿宋_GB2312"/>
          <w:sz w:val="32"/>
        </w:rPr>
      </w:pPr>
      <w:r>
        <w:rPr>
          <w:rFonts w:ascii="仿宋_GB2312" w:eastAsia="仿宋_GB2312"/>
          <w:sz w:val="32"/>
        </w:rPr>
        <w:t>作为国家公共卫生医疗机构，本单位不仅承担着本市居民的医疗卫生任务，还承接来自周边地区及全国各地区的患者的保健和诊疗，一直肩负着社会基本医疗保障和公共卫生服务的职能，承担着救死扶伤、防病治病的社会责任，是实现政府保护国民健康、维持社会稳定政策目标的重要基础，运行机制始终是体现社会公益性质。</w:t>
      </w:r>
    </w:p>
    <w:p>
      <w:pPr>
        <w:widowControl/>
        <w:spacing w:before="240" w:after="240"/>
        <w:jc w:val="left"/>
        <w:rPr>
          <w:rFonts w:ascii="黑体" w:eastAsia="黑体"/>
          <w:b/>
          <w:sz w:val="32"/>
        </w:rPr>
      </w:pPr>
      <w:r>
        <w:rPr>
          <w:rFonts w:ascii="Calibri" w:hAnsi="Calibri" w:eastAsia="Calibri" w:cs="Calibri"/>
          <w:b/>
          <w:bCs/>
          <w:kern w:val="0"/>
          <w:sz w:val="27"/>
          <w:szCs w:val="27"/>
        </w:rPr>
        <w:t>   </w:t>
      </w:r>
      <w:r>
        <w:rPr>
          <w:rFonts w:hint="eastAsia" w:ascii="黑体" w:eastAsia="黑体"/>
          <w:b/>
          <w:sz w:val="32"/>
        </w:rPr>
        <w:t xml:space="preserve">   二、单位机构设置及决算单位构成情况</w:t>
      </w:r>
    </w:p>
    <w:p>
      <w:pPr>
        <w:autoSpaceDE w:val="0"/>
        <w:autoSpaceDN w:val="0"/>
        <w:adjustRightInd w:val="0"/>
        <w:spacing w:line="600" w:lineRule="exact"/>
        <w:ind w:firstLine="640"/>
        <w:rPr>
          <w:rFonts w:ascii="仿宋_GB2312" w:eastAsia="仿宋_GB2312"/>
          <w:sz w:val="32"/>
          <w:highlight w:val="yellow"/>
        </w:rPr>
      </w:pPr>
      <w:r>
        <w:rPr>
          <w:rFonts w:ascii="仿宋_GB2312" w:eastAsia="仿宋_GB2312"/>
          <w:sz w:val="32"/>
        </w:rPr>
        <w:t>1.根据单位职责分工，本单位内设机构</w:t>
      </w:r>
      <w:r>
        <w:rPr>
          <w:rFonts w:hint="eastAsia" w:ascii="仿宋_GB2312" w:eastAsia="仿宋_GB2312"/>
          <w:sz w:val="32"/>
        </w:rPr>
        <w:t>132个，包括</w:t>
      </w:r>
      <w:r>
        <w:rPr>
          <w:rFonts w:ascii="仿宋_GB2312" w:eastAsia="仿宋_GB2312"/>
          <w:sz w:val="32"/>
        </w:rPr>
        <w:t>党委办公室</w:t>
      </w:r>
      <w:r>
        <w:rPr>
          <w:rFonts w:hint="eastAsia" w:ascii="仿宋_GB2312" w:eastAsia="仿宋_GB2312"/>
          <w:sz w:val="32"/>
        </w:rPr>
        <w:t>、</w:t>
      </w:r>
      <w:r>
        <w:rPr>
          <w:rFonts w:ascii="仿宋_GB2312" w:eastAsia="仿宋_GB2312"/>
          <w:sz w:val="32"/>
        </w:rPr>
        <w:t>行政办公室</w:t>
      </w:r>
      <w:r>
        <w:rPr>
          <w:rFonts w:hint="eastAsia" w:ascii="仿宋_GB2312" w:eastAsia="仿宋_GB2312"/>
          <w:sz w:val="32"/>
        </w:rPr>
        <w:t>、</w:t>
      </w:r>
      <w:r>
        <w:rPr>
          <w:rFonts w:ascii="仿宋_GB2312" w:eastAsia="仿宋_GB2312"/>
          <w:sz w:val="32"/>
        </w:rPr>
        <w:t>外联部</w:t>
      </w:r>
      <w:r>
        <w:rPr>
          <w:rFonts w:hint="eastAsia" w:ascii="仿宋_GB2312" w:eastAsia="仿宋_GB2312"/>
          <w:sz w:val="32"/>
        </w:rPr>
        <w:t>、</w:t>
      </w:r>
      <w:r>
        <w:rPr>
          <w:rFonts w:ascii="仿宋_GB2312" w:eastAsia="仿宋_GB2312"/>
          <w:sz w:val="32"/>
        </w:rPr>
        <w:t>纪检监察室</w:t>
      </w:r>
      <w:r>
        <w:rPr>
          <w:rFonts w:hint="eastAsia" w:ascii="仿宋_GB2312" w:eastAsia="仿宋_GB2312"/>
          <w:sz w:val="32"/>
        </w:rPr>
        <w:t>、</w:t>
      </w:r>
      <w:r>
        <w:rPr>
          <w:rFonts w:ascii="仿宋_GB2312" w:eastAsia="仿宋_GB2312"/>
          <w:sz w:val="32"/>
        </w:rPr>
        <w:t>宣传科</w:t>
      </w:r>
      <w:r>
        <w:rPr>
          <w:rFonts w:hint="eastAsia" w:ascii="仿宋_GB2312" w:eastAsia="仿宋_GB2312"/>
          <w:sz w:val="32"/>
        </w:rPr>
        <w:t>、</w:t>
      </w:r>
      <w:r>
        <w:rPr>
          <w:rFonts w:ascii="仿宋_GB2312" w:eastAsia="仿宋_GB2312"/>
          <w:sz w:val="32"/>
        </w:rPr>
        <w:t>工会</w:t>
      </w:r>
      <w:r>
        <w:rPr>
          <w:rFonts w:hint="eastAsia" w:ascii="仿宋_GB2312" w:eastAsia="仿宋_GB2312"/>
          <w:sz w:val="32"/>
        </w:rPr>
        <w:t>、</w:t>
      </w:r>
      <w:r>
        <w:rPr>
          <w:rFonts w:ascii="仿宋_GB2312" w:eastAsia="仿宋_GB2312"/>
          <w:sz w:val="32"/>
        </w:rPr>
        <w:t>人事科</w:t>
      </w:r>
      <w:r>
        <w:rPr>
          <w:rFonts w:hint="eastAsia" w:ascii="仿宋_GB2312" w:eastAsia="仿宋_GB2312"/>
          <w:sz w:val="32"/>
        </w:rPr>
        <w:t>、</w:t>
      </w:r>
      <w:r>
        <w:rPr>
          <w:rFonts w:ascii="仿宋_GB2312" w:eastAsia="仿宋_GB2312"/>
          <w:sz w:val="32"/>
        </w:rPr>
        <w:t>财务科</w:t>
      </w:r>
      <w:r>
        <w:rPr>
          <w:rFonts w:hint="eastAsia" w:ascii="仿宋_GB2312" w:eastAsia="仿宋_GB2312"/>
          <w:sz w:val="32"/>
        </w:rPr>
        <w:t>、</w:t>
      </w:r>
      <w:r>
        <w:rPr>
          <w:rFonts w:ascii="仿宋_GB2312" w:eastAsia="仿宋_GB2312"/>
          <w:sz w:val="32"/>
        </w:rPr>
        <w:t>医务科</w:t>
      </w:r>
      <w:r>
        <w:rPr>
          <w:rFonts w:hint="eastAsia" w:ascii="仿宋_GB2312" w:eastAsia="仿宋_GB2312"/>
          <w:sz w:val="32"/>
        </w:rPr>
        <w:t>、</w:t>
      </w:r>
      <w:r>
        <w:rPr>
          <w:rFonts w:ascii="仿宋_GB2312" w:eastAsia="仿宋_GB2312"/>
          <w:sz w:val="32"/>
        </w:rPr>
        <w:t>护理部</w:t>
      </w:r>
      <w:r>
        <w:rPr>
          <w:rFonts w:hint="eastAsia" w:ascii="仿宋_GB2312" w:eastAsia="仿宋_GB2312"/>
          <w:sz w:val="32"/>
        </w:rPr>
        <w:t>、</w:t>
      </w:r>
      <w:r>
        <w:rPr>
          <w:rFonts w:ascii="仿宋_GB2312" w:eastAsia="仿宋_GB2312"/>
          <w:sz w:val="32"/>
        </w:rPr>
        <w:t>感染管理科</w:t>
      </w:r>
      <w:r>
        <w:rPr>
          <w:rFonts w:hint="eastAsia" w:ascii="仿宋_GB2312" w:eastAsia="仿宋_GB2312"/>
          <w:sz w:val="32"/>
        </w:rPr>
        <w:t>、</w:t>
      </w:r>
      <w:r>
        <w:rPr>
          <w:rFonts w:ascii="仿宋_GB2312" w:eastAsia="仿宋_GB2312"/>
          <w:sz w:val="32"/>
        </w:rPr>
        <w:t>质控科</w:t>
      </w:r>
      <w:r>
        <w:rPr>
          <w:rFonts w:hint="eastAsia" w:ascii="仿宋_GB2312" w:eastAsia="仿宋_GB2312"/>
          <w:sz w:val="32"/>
        </w:rPr>
        <w:t>、</w:t>
      </w:r>
      <w:r>
        <w:rPr>
          <w:rFonts w:ascii="仿宋_GB2312" w:eastAsia="仿宋_GB2312"/>
          <w:sz w:val="32"/>
        </w:rPr>
        <w:t>数据中心</w:t>
      </w:r>
      <w:r>
        <w:rPr>
          <w:rFonts w:hint="eastAsia" w:ascii="仿宋_GB2312" w:eastAsia="仿宋_GB2312"/>
          <w:sz w:val="32"/>
        </w:rPr>
        <w:t>、</w:t>
      </w:r>
      <w:r>
        <w:rPr>
          <w:rFonts w:ascii="仿宋_GB2312" w:eastAsia="仿宋_GB2312"/>
          <w:sz w:val="32"/>
        </w:rPr>
        <w:t>科教科</w:t>
      </w:r>
      <w:r>
        <w:rPr>
          <w:rFonts w:hint="eastAsia" w:ascii="仿宋_GB2312" w:eastAsia="仿宋_GB2312"/>
          <w:sz w:val="32"/>
        </w:rPr>
        <w:t>、</w:t>
      </w:r>
      <w:r>
        <w:rPr>
          <w:rFonts w:ascii="仿宋_GB2312" w:eastAsia="仿宋_GB2312"/>
          <w:sz w:val="32"/>
        </w:rPr>
        <w:t>中心实验室</w:t>
      </w:r>
      <w:r>
        <w:rPr>
          <w:rFonts w:hint="eastAsia" w:ascii="仿宋_GB2312" w:eastAsia="仿宋_GB2312"/>
          <w:sz w:val="32"/>
        </w:rPr>
        <w:t>、</w:t>
      </w:r>
      <w:r>
        <w:rPr>
          <w:rFonts w:ascii="仿宋_GB2312" w:eastAsia="仿宋_GB2312"/>
          <w:sz w:val="32"/>
        </w:rPr>
        <w:t>总务科</w:t>
      </w:r>
      <w:r>
        <w:rPr>
          <w:rFonts w:hint="eastAsia" w:ascii="仿宋_GB2312" w:eastAsia="仿宋_GB2312"/>
          <w:sz w:val="32"/>
        </w:rPr>
        <w:t>、</w:t>
      </w:r>
      <w:r>
        <w:rPr>
          <w:rFonts w:ascii="仿宋_GB2312" w:eastAsia="仿宋_GB2312"/>
          <w:sz w:val="32"/>
        </w:rPr>
        <w:t>器械科</w:t>
      </w:r>
      <w:r>
        <w:rPr>
          <w:rFonts w:hint="eastAsia" w:ascii="仿宋_GB2312" w:eastAsia="仿宋_GB2312"/>
          <w:sz w:val="32"/>
        </w:rPr>
        <w:t>、</w:t>
      </w:r>
      <w:r>
        <w:rPr>
          <w:rFonts w:ascii="仿宋_GB2312" w:eastAsia="仿宋_GB2312"/>
          <w:sz w:val="32"/>
        </w:rPr>
        <w:t>信息科</w:t>
      </w:r>
      <w:r>
        <w:rPr>
          <w:rFonts w:hint="eastAsia" w:ascii="仿宋_GB2312" w:eastAsia="仿宋_GB2312"/>
          <w:sz w:val="32"/>
        </w:rPr>
        <w:t>、</w:t>
      </w:r>
      <w:r>
        <w:rPr>
          <w:rFonts w:ascii="仿宋_GB2312" w:eastAsia="仿宋_GB2312"/>
          <w:sz w:val="32"/>
        </w:rPr>
        <w:t>医学工程部</w:t>
      </w:r>
      <w:r>
        <w:rPr>
          <w:rFonts w:hint="eastAsia" w:ascii="仿宋_GB2312" w:eastAsia="仿宋_GB2312"/>
          <w:sz w:val="32"/>
        </w:rPr>
        <w:t>、</w:t>
      </w:r>
      <w:r>
        <w:rPr>
          <w:rFonts w:ascii="仿宋_GB2312" w:eastAsia="仿宋_GB2312"/>
          <w:sz w:val="32"/>
        </w:rPr>
        <w:t>保卫科</w:t>
      </w:r>
      <w:r>
        <w:rPr>
          <w:rFonts w:hint="eastAsia" w:ascii="仿宋_GB2312" w:eastAsia="仿宋_GB2312"/>
          <w:sz w:val="32"/>
        </w:rPr>
        <w:t>、</w:t>
      </w:r>
      <w:r>
        <w:rPr>
          <w:rFonts w:ascii="仿宋_GB2312" w:eastAsia="仿宋_GB2312"/>
          <w:sz w:val="32"/>
        </w:rPr>
        <w:t>社保科</w:t>
      </w:r>
      <w:r>
        <w:rPr>
          <w:rFonts w:hint="eastAsia" w:ascii="仿宋_GB2312" w:eastAsia="仿宋_GB2312"/>
          <w:sz w:val="32"/>
        </w:rPr>
        <w:t>、</w:t>
      </w:r>
      <w:r>
        <w:rPr>
          <w:rFonts w:ascii="仿宋_GB2312" w:eastAsia="仿宋_GB2312"/>
          <w:sz w:val="32"/>
        </w:rPr>
        <w:t>审计科</w:t>
      </w:r>
      <w:r>
        <w:rPr>
          <w:rFonts w:hint="eastAsia" w:ascii="仿宋_GB2312" w:eastAsia="仿宋_GB2312"/>
          <w:sz w:val="32"/>
        </w:rPr>
        <w:t>、</w:t>
      </w:r>
      <w:r>
        <w:rPr>
          <w:rFonts w:ascii="仿宋_GB2312" w:eastAsia="仿宋_GB2312"/>
          <w:sz w:val="32"/>
        </w:rPr>
        <w:t>招标办</w:t>
      </w:r>
      <w:r>
        <w:rPr>
          <w:rFonts w:hint="eastAsia" w:ascii="仿宋_GB2312" w:eastAsia="仿宋_GB2312"/>
          <w:sz w:val="32"/>
        </w:rPr>
        <w:t>、</w:t>
      </w:r>
      <w:r>
        <w:rPr>
          <w:rFonts w:ascii="仿宋_GB2312" w:eastAsia="仿宋_GB2312"/>
          <w:sz w:val="32"/>
        </w:rPr>
        <w:t>物价科</w:t>
      </w:r>
      <w:r>
        <w:rPr>
          <w:rFonts w:hint="eastAsia" w:ascii="仿宋_GB2312" w:eastAsia="仿宋_GB2312"/>
          <w:sz w:val="32"/>
        </w:rPr>
        <w:t>、</w:t>
      </w:r>
      <w:r>
        <w:rPr>
          <w:rFonts w:ascii="仿宋_GB2312" w:eastAsia="仿宋_GB2312"/>
          <w:sz w:val="32"/>
        </w:rPr>
        <w:t>协调办</w:t>
      </w:r>
      <w:r>
        <w:rPr>
          <w:rFonts w:hint="eastAsia" w:ascii="仿宋_GB2312" w:eastAsia="仿宋_GB2312"/>
          <w:sz w:val="32"/>
        </w:rPr>
        <w:t>、</w:t>
      </w:r>
      <w:r>
        <w:rPr>
          <w:rFonts w:ascii="仿宋_GB2312" w:eastAsia="仿宋_GB2312"/>
          <w:sz w:val="32"/>
        </w:rPr>
        <w:t>互联网医院办公室</w:t>
      </w:r>
      <w:r>
        <w:rPr>
          <w:rFonts w:hint="eastAsia" w:ascii="仿宋_GB2312" w:eastAsia="仿宋_GB2312"/>
          <w:sz w:val="32"/>
        </w:rPr>
        <w:t>、</w:t>
      </w:r>
      <w:r>
        <w:rPr>
          <w:rFonts w:ascii="仿宋_GB2312" w:eastAsia="仿宋_GB2312"/>
          <w:sz w:val="32"/>
        </w:rPr>
        <w:t>门诊部</w:t>
      </w:r>
      <w:r>
        <w:rPr>
          <w:rFonts w:hint="eastAsia" w:ascii="仿宋_GB2312" w:eastAsia="仿宋_GB2312"/>
          <w:sz w:val="32"/>
        </w:rPr>
        <w:t>、</w:t>
      </w:r>
      <w:r>
        <w:rPr>
          <w:rFonts w:ascii="仿宋_GB2312" w:eastAsia="仿宋_GB2312"/>
          <w:sz w:val="32"/>
        </w:rPr>
        <w:t>窗口结算中心</w:t>
      </w:r>
      <w:r>
        <w:rPr>
          <w:rFonts w:hint="eastAsia" w:ascii="仿宋_GB2312" w:eastAsia="仿宋_GB2312"/>
          <w:sz w:val="32"/>
        </w:rPr>
        <w:t>、</w:t>
      </w:r>
      <w:r>
        <w:rPr>
          <w:rFonts w:ascii="仿宋_GB2312" w:eastAsia="仿宋_GB2312"/>
          <w:sz w:val="32"/>
        </w:rPr>
        <w:t>病案室</w:t>
      </w:r>
      <w:r>
        <w:rPr>
          <w:rFonts w:hint="eastAsia" w:ascii="仿宋_GB2312" w:eastAsia="仿宋_GB2312"/>
          <w:sz w:val="32"/>
        </w:rPr>
        <w:t>、</w:t>
      </w:r>
      <w:r>
        <w:rPr>
          <w:rFonts w:ascii="仿宋_GB2312" w:eastAsia="仿宋_GB2312"/>
          <w:sz w:val="32"/>
        </w:rPr>
        <w:t>供应室</w:t>
      </w:r>
      <w:r>
        <w:rPr>
          <w:rFonts w:hint="eastAsia" w:ascii="仿宋_GB2312" w:eastAsia="仿宋_GB2312"/>
          <w:sz w:val="32"/>
        </w:rPr>
        <w:t>、</w:t>
      </w:r>
      <w:r>
        <w:rPr>
          <w:rFonts w:ascii="仿宋_GB2312" w:eastAsia="仿宋_GB2312"/>
          <w:sz w:val="32"/>
        </w:rPr>
        <w:t>预住院中心</w:t>
      </w:r>
      <w:r>
        <w:rPr>
          <w:rFonts w:hint="eastAsia" w:ascii="仿宋_GB2312" w:eastAsia="仿宋_GB2312"/>
          <w:sz w:val="32"/>
        </w:rPr>
        <w:t>、</w:t>
      </w:r>
      <w:r>
        <w:rPr>
          <w:rFonts w:ascii="仿宋_GB2312" w:eastAsia="仿宋_GB2312"/>
          <w:sz w:val="32"/>
        </w:rPr>
        <w:t>车队</w:t>
      </w:r>
      <w:r>
        <w:rPr>
          <w:rFonts w:hint="eastAsia" w:ascii="仿宋_GB2312" w:eastAsia="仿宋_GB2312"/>
          <w:sz w:val="32"/>
        </w:rPr>
        <w:t>、</w:t>
      </w:r>
      <w:r>
        <w:rPr>
          <w:rFonts w:ascii="仿宋_GB2312" w:eastAsia="仿宋_GB2312"/>
          <w:sz w:val="32"/>
        </w:rPr>
        <w:t>医技护理单元</w:t>
      </w:r>
      <w:r>
        <w:rPr>
          <w:rFonts w:hint="eastAsia" w:ascii="仿宋_GB2312" w:eastAsia="仿宋_GB2312"/>
          <w:sz w:val="32"/>
        </w:rPr>
        <w:t>、</w:t>
      </w:r>
      <w:r>
        <w:rPr>
          <w:rFonts w:ascii="仿宋_GB2312" w:eastAsia="仿宋_GB2312"/>
          <w:sz w:val="32"/>
        </w:rPr>
        <w:t>应急管理办公室</w:t>
      </w:r>
      <w:r>
        <w:rPr>
          <w:rFonts w:hint="eastAsia" w:ascii="仿宋_GB2312" w:eastAsia="仿宋_GB2312"/>
          <w:sz w:val="32"/>
        </w:rPr>
        <w:t>、预防保健科及其他临床医技科室等</w:t>
      </w:r>
      <w:r>
        <w:rPr>
          <w:rFonts w:hint="eastAsia"/>
          <w:sz w:val="30"/>
          <w:szCs w:val="30"/>
        </w:rPr>
        <w:t>。</w:t>
      </w:r>
      <w:r>
        <w:rPr>
          <w:rFonts w:ascii="仿宋_GB2312" w:eastAsia="仿宋_GB2312"/>
          <w:sz w:val="32"/>
        </w:rPr>
        <w:t>本单位</w:t>
      </w:r>
      <w:r>
        <w:rPr>
          <w:rFonts w:hint="eastAsia" w:ascii="仿宋_GB2312" w:eastAsia="仿宋_GB2312"/>
          <w:sz w:val="32"/>
        </w:rPr>
        <w:t>为</w:t>
      </w:r>
      <w:r>
        <w:rPr>
          <w:rFonts w:ascii="仿宋_GB2312" w:eastAsia="仿宋_GB2312"/>
          <w:sz w:val="32"/>
        </w:rPr>
        <w:t>二级预算单位。报表类型为：单户表。年末独立核算机构数：1个。</w:t>
      </w:r>
      <w:r>
        <w:rPr>
          <w:rFonts w:hint="eastAsia" w:ascii="仿宋_GB2312" w:eastAsia="仿宋_GB2312"/>
          <w:sz w:val="32"/>
        </w:rPr>
        <w:t>本单位</w:t>
      </w:r>
      <w:r>
        <w:rPr>
          <w:rFonts w:ascii="仿宋_GB2312" w:eastAsia="仿宋_GB2312"/>
          <w:sz w:val="32"/>
        </w:rPr>
        <w:t>无下级预算单位。</w:t>
      </w:r>
    </w:p>
    <w:p>
      <w:pPr>
        <w:autoSpaceDE w:val="0"/>
        <w:autoSpaceDN w:val="0"/>
        <w:adjustRightInd w:val="0"/>
        <w:spacing w:line="600" w:lineRule="exact"/>
        <w:ind w:firstLine="640"/>
        <w:rPr>
          <w:rFonts w:ascii="仿宋_GB2312" w:eastAsia="仿宋_GB2312"/>
          <w:sz w:val="32"/>
        </w:rPr>
      </w:pPr>
      <w:r>
        <w:rPr>
          <w:rFonts w:ascii="仿宋_GB2312" w:eastAsia="仿宋_GB2312"/>
          <w:sz w:val="32"/>
        </w:rPr>
        <w:t>2.从决算单位构成看，</w:t>
      </w:r>
      <w:r>
        <w:rPr>
          <w:rFonts w:hint="eastAsia" w:ascii="仿宋_GB2312" w:eastAsia="仿宋_GB2312"/>
          <w:sz w:val="32"/>
        </w:rPr>
        <w:t>纳入本单位2024年单位决算编制范围</w:t>
      </w:r>
      <w:r>
        <w:rPr>
          <w:rFonts w:ascii="仿宋_GB2312" w:eastAsia="仿宋_GB2312"/>
          <w:sz w:val="32"/>
        </w:rPr>
        <w:t>的预算单位共计 1 家，详细情况见表：</w:t>
      </w:r>
    </w:p>
    <w:tbl>
      <w:tblPr>
        <w:tblStyle w:val="22"/>
        <w:tblW w:w="4688" w:type="pct"/>
        <w:jc w:val="center"/>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autofit"/>
        <w:tblCellMar>
          <w:top w:w="15" w:type="dxa"/>
          <w:left w:w="15" w:type="dxa"/>
          <w:bottom w:w="15" w:type="dxa"/>
          <w:right w:w="15" w:type="dxa"/>
        </w:tblCellMar>
      </w:tblPr>
      <w:tblGrid>
        <w:gridCol w:w="873"/>
        <w:gridCol w:w="5821"/>
        <w:gridCol w:w="2479"/>
      </w:tblGrid>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231" w:hRule="atLeast"/>
          <w:tblHeader/>
          <w:jc w:val="center"/>
        </w:trPr>
        <w:tc>
          <w:tcPr>
            <w:tcW w:w="476" w:type="pct"/>
            <w:tcBorders>
              <w:bottom w:val="inset" w:color="808080" w:sz="6" w:space="0"/>
              <w:right w:val="inset" w:color="808080" w:sz="6" w:space="0"/>
            </w:tcBorders>
            <w:tcMar>
              <w:top w:w="22" w:type="dxa"/>
              <w:left w:w="22" w:type="dxa"/>
              <w:bottom w:w="22" w:type="dxa"/>
              <w:right w:w="22" w:type="dxa"/>
            </w:tcMar>
            <w:vAlign w:val="center"/>
          </w:tcPr>
          <w:p>
            <w:pPr>
              <w:pStyle w:val="21"/>
              <w:spacing w:before="0" w:beforeAutospacing="0" w:after="0" w:afterAutospacing="0" w:line="56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序号</w:t>
            </w:r>
          </w:p>
        </w:tc>
        <w:tc>
          <w:tcPr>
            <w:tcW w:w="3172" w:type="pct"/>
            <w:tcBorders>
              <w:left w:val="inset" w:color="808080" w:sz="6" w:space="0"/>
              <w:bottom w:val="inset" w:color="808080" w:sz="6" w:space="0"/>
              <w:right w:val="inset" w:color="808080" w:sz="6" w:space="0"/>
            </w:tcBorders>
            <w:tcMar>
              <w:top w:w="22" w:type="dxa"/>
              <w:left w:w="22" w:type="dxa"/>
              <w:bottom w:w="22" w:type="dxa"/>
              <w:right w:w="22" w:type="dxa"/>
            </w:tcMar>
            <w:vAlign w:val="center"/>
          </w:tcPr>
          <w:p>
            <w:pPr>
              <w:pStyle w:val="21"/>
              <w:spacing w:before="0" w:beforeAutospacing="0" w:after="0" w:afterAutospacing="0"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单位名称</w:t>
            </w:r>
          </w:p>
        </w:tc>
        <w:tc>
          <w:tcPr>
            <w:tcW w:w="1351" w:type="pct"/>
            <w:tcBorders>
              <w:left w:val="inset" w:color="808080" w:sz="6" w:space="0"/>
              <w:bottom w:val="inset" w:color="808080" w:sz="6" w:space="0"/>
            </w:tcBorders>
            <w:tcMar>
              <w:top w:w="22" w:type="dxa"/>
              <w:left w:w="22" w:type="dxa"/>
              <w:bottom w:w="22" w:type="dxa"/>
              <w:right w:w="22" w:type="dxa"/>
            </w:tcMar>
            <w:vAlign w:val="center"/>
          </w:tcPr>
          <w:p>
            <w:pPr>
              <w:pStyle w:val="21"/>
              <w:spacing w:before="0" w:beforeAutospacing="0" w:after="0" w:afterAutospacing="0" w:line="56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单位性质</w:t>
            </w:r>
          </w:p>
        </w:tc>
      </w:tr>
      <w:tr>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369" w:hRule="atLeast"/>
          <w:jc w:val="center"/>
        </w:trPr>
        <w:tc>
          <w:tcPr>
            <w:tcW w:w="476" w:type="pct"/>
            <w:tcBorders>
              <w:top w:val="inset" w:color="808080" w:sz="6" w:space="0"/>
              <w:bottom w:val="inset" w:color="808080" w:sz="6" w:space="0"/>
              <w:right w:val="inset" w:color="808080" w:sz="6" w:space="0"/>
            </w:tcBorders>
            <w:tcMar>
              <w:top w:w="22" w:type="dxa"/>
              <w:left w:w="22" w:type="dxa"/>
              <w:bottom w:w="22" w:type="dxa"/>
              <w:right w:w="22" w:type="dxa"/>
            </w:tcMar>
            <w:vAlign w:val="center"/>
          </w:tcPr>
          <w:p>
            <w:pPr>
              <w:pStyle w:val="21"/>
              <w:spacing w:before="0" w:beforeAutospacing="0" w:after="0" w:afterAutospacing="0" w:line="560" w:lineRule="exact"/>
              <w:ind w:firstLine="270" w:firstLineChars="100"/>
              <w:rPr>
                <w:rFonts w:ascii="Times New Roman" w:hAnsi="Times New Roman" w:eastAsia="仿宋_GB2312" w:cs="Times New Roman"/>
                <w:sz w:val="32"/>
                <w:szCs w:val="32"/>
              </w:rPr>
            </w:pPr>
            <w:r>
              <w:rPr>
                <w:rFonts w:ascii="Times New Roman" w:hAnsi="Times New Roman" w:eastAsia="times_new_roman" w:cs="Times New Roman"/>
                <w:sz w:val="27"/>
                <w:szCs w:val="27"/>
              </w:rPr>
              <w:t xml:space="preserve">1 </w:t>
            </w:r>
          </w:p>
        </w:tc>
        <w:tc>
          <w:tcPr>
            <w:tcW w:w="3172" w:type="pct"/>
            <w:tcBorders>
              <w:top w:val="inset" w:color="808080" w:sz="6" w:space="0"/>
              <w:left w:val="inset" w:color="808080" w:sz="6" w:space="0"/>
              <w:bottom w:val="inset" w:color="808080" w:sz="6" w:space="0"/>
              <w:right w:val="inset" w:color="808080" w:sz="6" w:space="0"/>
            </w:tcBorders>
            <w:tcMar>
              <w:top w:w="22" w:type="dxa"/>
              <w:left w:w="22" w:type="dxa"/>
              <w:bottom w:w="22" w:type="dxa"/>
              <w:right w:w="22" w:type="dxa"/>
            </w:tcMar>
            <w:vAlign w:val="center"/>
          </w:tcPr>
          <w:p>
            <w:pPr>
              <w:pStyle w:val="21"/>
              <w:spacing w:before="0" w:beforeAutospacing="0" w:after="0" w:afterAutospacing="0" w:line="560" w:lineRule="exact"/>
              <w:rPr>
                <w:rFonts w:ascii="Times New Roman" w:hAnsi="Times New Roman" w:eastAsia="仿宋_GB2312" w:cs="Times New Roman"/>
                <w:sz w:val="32"/>
                <w:szCs w:val="32"/>
              </w:rPr>
            </w:pPr>
            <w:r>
              <w:rPr>
                <w:rStyle w:val="24"/>
                <w:rFonts w:ascii="仿宋_GB2312" w:hAnsi="Times New Roman" w:eastAsia="仿宋_GB2312" w:cs="Times New Roman"/>
                <w:b w:val="0"/>
                <w:kern w:val="2"/>
                <w:sz w:val="30"/>
                <w:szCs w:val="30"/>
              </w:rPr>
              <w:t>鄂尔多斯市中心医院（内蒙古自治区超声影像研究所）</w:t>
            </w:r>
          </w:p>
        </w:tc>
        <w:tc>
          <w:tcPr>
            <w:tcW w:w="1351" w:type="pct"/>
            <w:tcBorders>
              <w:top w:val="inset" w:color="808080" w:sz="6" w:space="0"/>
              <w:left w:val="inset" w:color="808080" w:sz="6" w:space="0"/>
              <w:bottom w:val="inset" w:color="808080" w:sz="6" w:space="0"/>
            </w:tcBorders>
            <w:tcMar>
              <w:top w:w="22" w:type="dxa"/>
              <w:left w:w="22" w:type="dxa"/>
              <w:bottom w:w="22" w:type="dxa"/>
              <w:right w:w="22" w:type="dxa"/>
            </w:tcMar>
            <w:vAlign w:val="center"/>
          </w:tcPr>
          <w:p>
            <w:pPr>
              <w:pStyle w:val="21"/>
              <w:spacing w:before="0" w:beforeAutospacing="0" w:after="0" w:afterAutospacing="0" w:line="560" w:lineRule="exact"/>
              <w:jc w:val="center"/>
              <w:rPr>
                <w:rFonts w:ascii="Times New Roman" w:hAnsi="Times New Roman" w:eastAsia="仿宋_GB2312" w:cs="Times New Roman"/>
                <w:sz w:val="32"/>
                <w:szCs w:val="32"/>
              </w:rPr>
            </w:pPr>
            <w:r>
              <w:rPr>
                <w:rStyle w:val="24"/>
                <w:rFonts w:ascii="仿宋_GB2312" w:hAnsi="Times New Roman" w:eastAsia="仿宋_GB2312" w:cs="Times New Roman"/>
                <w:b w:val="0"/>
                <w:kern w:val="2"/>
                <w:sz w:val="30"/>
                <w:szCs w:val="30"/>
              </w:rPr>
              <w:t>公益二类事业单位</w:t>
            </w:r>
          </w:p>
        </w:tc>
      </w:tr>
    </w:tbl>
    <w:p>
      <w:pPr>
        <w:widowControl/>
        <w:spacing w:before="240" w:after="240"/>
        <w:ind w:firstLine="600" w:firstLineChars="200"/>
        <w:jc w:val="left"/>
        <w:rPr>
          <w:rStyle w:val="24"/>
          <w:rFonts w:ascii="仿宋_GB2312" w:eastAsia="仿宋_GB2312"/>
          <w:b w:val="0"/>
          <w:sz w:val="30"/>
          <w:szCs w:val="30"/>
        </w:rPr>
      </w:pPr>
      <w:r>
        <w:rPr>
          <w:rStyle w:val="24"/>
          <w:rFonts w:ascii="仿宋_GB2312" w:eastAsia="仿宋_GB2312"/>
          <w:b w:val="0"/>
          <w:sz w:val="30"/>
          <w:szCs w:val="30"/>
        </w:rPr>
        <w:t>本单位无下级预算单位。</w:t>
      </w:r>
    </w:p>
    <w:p>
      <w:pPr>
        <w:autoSpaceDE w:val="0"/>
        <w:autoSpaceDN w:val="0"/>
        <w:adjustRightInd w:val="0"/>
        <w:spacing w:line="600" w:lineRule="exact"/>
        <w:ind w:firstLine="643"/>
        <w:rPr>
          <w:rFonts w:ascii="黑体" w:eastAsia="黑体"/>
          <w:b/>
          <w:sz w:val="32"/>
        </w:rPr>
      </w:pPr>
      <w:r>
        <w:rPr>
          <w:rFonts w:hint="eastAsia" w:ascii="黑体" w:eastAsia="黑体"/>
          <w:b/>
          <w:sz w:val="32"/>
        </w:rPr>
        <w:t>三、2024年度单位主要工作完成情况</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2024年在市委、市政府的正确领导下，在市卫健委的关心指导下，鄂尔多斯市中心医院领导班子团结带领全院职工，坚持以习近平新时代中国特色社会主义思想为指导，持续实施党建“115”工程和“123456”发展思路，“四降五升两突破”预期目标基本实现，“提升医疗服务十项新举措”100%实施，高质量完成自治区区域医疗中心综合楼建设，高水准打造胸痛、卒中、创伤、危重孕产妇、危重儿童和新生儿五大救治中心，为全市人民提供了高质量的医疗服务。与2023年相比，2024年门急诊人次191万，同期增长11.46%；出院人次8.1万，同期增长11.26%；手术人次2.4万，同期增长18.01%；CMI达到0.97；出院患者手术占比29.68%；四级手术占比14.42%；微创手术占比20.57%；平均住院日6.86天，同期下降0.73天；医务性收入占比30.40%，同期增加1.79%；门诊患者满意度、住院患者满意度、医务人员满意度三项指标在国家测评中全部达到满分值，实现了医疗服务能力的大幅提升。</w:t>
      </w:r>
    </w:p>
    <w:p>
      <w:pPr>
        <w:autoSpaceDE w:val="0"/>
        <w:autoSpaceDN w:val="0"/>
        <w:adjustRightInd w:val="0"/>
        <w:spacing w:line="600" w:lineRule="exact"/>
        <w:ind w:firstLine="640" w:firstLineChars="200"/>
        <w:rPr>
          <w:rFonts w:ascii="仿宋_GB2312" w:eastAsia="仿宋_GB2312"/>
          <w:sz w:val="32"/>
        </w:rPr>
      </w:pPr>
      <w:r>
        <w:rPr>
          <w:rFonts w:ascii="仿宋_GB2312" w:eastAsia="仿宋_GB2312"/>
          <w:sz w:val="32"/>
        </w:rPr>
        <w:t>1.</w:t>
      </w:r>
      <w:r>
        <w:rPr>
          <w:rFonts w:hint="eastAsia" w:ascii="仿宋_GB2312" w:eastAsia="仿宋_GB2312"/>
          <w:sz w:val="32"/>
        </w:rPr>
        <w:t>强化学科建设</w:t>
      </w:r>
      <w:r>
        <w:rPr>
          <w:rFonts w:ascii="仿宋_GB2312" w:eastAsia="仿宋_GB2312"/>
          <w:sz w:val="32"/>
        </w:rPr>
        <w:t>。</w:t>
      </w:r>
      <w:r>
        <w:rPr>
          <w:rFonts w:hint="eastAsia" w:ascii="仿宋_GB2312" w:eastAsia="仿宋_GB2312"/>
          <w:sz w:val="32"/>
        </w:rPr>
        <w:t>积极建设消化肿瘤国家临床重点专科，打造高峰学科。以消化肿瘤专病为中心，普外科、肿瘤内科、消化内科等多学科参与，实施全周期全过程集成管理，高质量建设肿瘤专病学科群。获批自治区消化肿瘤专科区域医疗中心建设项目，签约全国头部医院22位杰出专家作为我院客座教授，点餐式为学科发展提供指导和帮助。成功组织消化肿瘤专病联合学术年会，学科区域影响力持续扩大。二是蓄力建设优势学科，打造高原学科。积极推动儿科、妇产科、心血管内科、骨科4个自治区级临床重点专科建设，着力提升肿瘤内科、心内科、骨科、普外科、临床药学、影像医学、超声医学7个市级重点学科质量。18个学科通过自治区领先重点学科初审，实现历史性突破。</w:t>
      </w:r>
    </w:p>
    <w:p>
      <w:pPr>
        <w:autoSpaceDE w:val="0"/>
        <w:autoSpaceDN w:val="0"/>
        <w:adjustRightInd w:val="0"/>
        <w:spacing w:line="600" w:lineRule="exact"/>
        <w:ind w:firstLine="640" w:firstLineChars="200"/>
        <w:rPr>
          <w:rFonts w:ascii="仿宋_GB2312" w:eastAsia="仿宋_GB2312"/>
          <w:sz w:val="32"/>
        </w:rPr>
      </w:pPr>
      <w:r>
        <w:rPr>
          <w:rFonts w:ascii="仿宋_GB2312" w:eastAsia="仿宋_GB2312"/>
          <w:sz w:val="32"/>
        </w:rPr>
        <w:t>2.</w:t>
      </w:r>
      <w:r>
        <w:rPr>
          <w:rFonts w:hint="eastAsia" w:ascii="仿宋_GB2312" w:eastAsia="仿宋_GB2312"/>
          <w:sz w:val="32"/>
        </w:rPr>
        <w:t>推进合作共建</w:t>
      </w:r>
      <w:r>
        <w:rPr>
          <w:rFonts w:ascii="仿宋_GB2312" w:eastAsia="仿宋_GB2312"/>
          <w:sz w:val="32"/>
        </w:rPr>
        <w:t>。</w:t>
      </w:r>
      <w:r>
        <w:rPr>
          <w:rFonts w:hint="eastAsia" w:ascii="仿宋_GB2312" w:eastAsia="仿宋_GB2312"/>
          <w:sz w:val="32"/>
        </w:rPr>
        <w:t>与北京清华长庚医院签订五年合作协议，在学科建设、医院管理、信息化智慧化方面合作提升，目前已全面开展务实有效的帮扶工作，北京清华长庚医院11批次58人来院指导，我院派出10批次66人赴京学习交流。同时，积极筹备与天津肿瘤医院、北京大学人民医院进行合作，促进资源共享和学术交流。</w:t>
      </w:r>
    </w:p>
    <w:p>
      <w:pPr>
        <w:autoSpaceDE w:val="0"/>
        <w:autoSpaceDN w:val="0"/>
        <w:adjustRightInd w:val="0"/>
        <w:spacing w:line="600" w:lineRule="exact"/>
        <w:ind w:firstLine="640" w:firstLineChars="200"/>
        <w:rPr>
          <w:rFonts w:ascii="仿宋_GB2312" w:eastAsia="仿宋_GB2312"/>
          <w:sz w:val="32"/>
        </w:rPr>
      </w:pPr>
      <w:r>
        <w:rPr>
          <w:rFonts w:ascii="仿宋_GB2312" w:eastAsia="仿宋_GB2312"/>
          <w:sz w:val="32"/>
        </w:rPr>
        <w:t>3.</w:t>
      </w:r>
      <w:r>
        <w:rPr>
          <w:rFonts w:hint="eastAsia" w:ascii="仿宋_GB2312" w:eastAsia="仿宋_GB2312"/>
          <w:sz w:val="32"/>
        </w:rPr>
        <w:t>重视人才引育。（1）进一步充实人才梯队。柔性引进武汉大学折志刚教授，建立折志刚博士工作站，助力人才培养与科研创新；刚性引进王东教授，启动药物临床试验机构（GCP）工作。录用6名重点医科大学博士，引进22名高层次及紧缺专业人才；招聘131名控制数人员，包含98名护理优质人才。（2）加强人才培育和管理。持续推进“优青计划”“苗圃计划”及“年轻医师能力提升计划”，为不同背景和专长的医护人员量身定制成长平台。鼓励职工高质量完成继续教育，修订在职人员攻读博硕研究生管理规定，提高进修补贴，全年67名医师、40名护士外出进修，进一步拓宽了专业视野，提高了技能水平。科学严谨地进行人才选拔和职称评定，4人获聘专技二级岗位，7人获聘专技三级岗位；7人晋升正高级职称，30人晋升副高级职称，其中6名正高级和27名副高级职称的评定严格通过院内自主评审程序完成，评审过程公平公正，公开透明，体现了我院自主评审职称的高含金量，获得了业界的高度认可。</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医院干部职工活力焕发，1人获评市县医院杰出管理人物奖（杰出引领奖），4人获评自治区英才兴蒙人才第五类人才、4人获评第六类人才，1人获评英才兴蒙青年拔尖人才，1人获批自治区人才开发基金项目，2人获批自治区留学人员创新创业启动支持计划，1个团队获评市产业创新创业团队。这些荣誉的取得，不仅是对优秀个人专业能力和贡献的认可，更充分展示了医院在人才培养、专业发展和团队建设方面的综合实力。</w:t>
      </w:r>
    </w:p>
    <w:p>
      <w:pPr>
        <w:autoSpaceDE w:val="0"/>
        <w:autoSpaceDN w:val="0"/>
        <w:adjustRightInd w:val="0"/>
        <w:spacing w:line="600" w:lineRule="exact"/>
        <w:ind w:firstLine="640" w:firstLineChars="200"/>
        <w:rPr>
          <w:rFonts w:ascii="仿宋_GB2312" w:eastAsia="仿宋_GB2312"/>
          <w:sz w:val="32"/>
        </w:rPr>
      </w:pPr>
      <w:r>
        <w:rPr>
          <w:rFonts w:ascii="仿宋_GB2312" w:eastAsia="仿宋_GB2312"/>
          <w:sz w:val="32"/>
        </w:rPr>
        <w:t>4.</w:t>
      </w:r>
      <w:r>
        <w:rPr>
          <w:rFonts w:hint="eastAsia" w:ascii="仿宋_GB2312" w:eastAsia="仿宋_GB2312"/>
          <w:sz w:val="32"/>
        </w:rPr>
        <w:t>加强科研教学</w:t>
      </w:r>
      <w:r>
        <w:rPr>
          <w:rFonts w:ascii="仿宋_GB2312" w:eastAsia="仿宋_GB2312"/>
          <w:sz w:val="32"/>
        </w:rPr>
        <w:t>。</w:t>
      </w:r>
      <w:r>
        <w:rPr>
          <w:rFonts w:hint="eastAsia" w:ascii="仿宋_GB2312" w:eastAsia="仿宋_GB2312"/>
          <w:sz w:val="32"/>
        </w:rPr>
        <w:t>（1）重视科研能力培养。加强科研团队建设，启动临床科学家发展计划（CPSD），首批遴选20名35岁以下“优青”为主的医师，实施集中订单式科研能力培养，激发了临床医护人员的科研热情和创新活力。高标准搭建临床科研平台，近1000平方米的中心实验室和生物样本库即将开放。举办11期折志刚教授“科研门诊”、6次科研专家讲座。开展</w:t>
      </w:r>
      <w:r>
        <w:rPr>
          <w:rFonts w:ascii="仿宋_GB2312" w:eastAsia="仿宋_GB2312"/>
          <w:sz w:val="32"/>
        </w:rPr>
        <w:t>国</w:t>
      </w:r>
      <w:r>
        <w:rPr>
          <w:rFonts w:hint="eastAsia" w:ascii="仿宋_GB2312" w:eastAsia="仿宋_GB2312"/>
          <w:sz w:val="32"/>
        </w:rPr>
        <w:t>家</w:t>
      </w:r>
      <w:r>
        <w:rPr>
          <w:rFonts w:ascii="仿宋_GB2312" w:eastAsia="仿宋_GB2312"/>
          <w:sz w:val="32"/>
        </w:rPr>
        <w:t>自然</w:t>
      </w:r>
      <w:r>
        <w:rPr>
          <w:rFonts w:hint="eastAsia" w:ascii="仿宋_GB2312" w:eastAsia="仿宋_GB2312"/>
          <w:sz w:val="32"/>
        </w:rPr>
        <w:t>科学</w:t>
      </w:r>
      <w:r>
        <w:rPr>
          <w:rFonts w:ascii="仿宋_GB2312" w:eastAsia="仿宋_GB2312"/>
          <w:sz w:val="32"/>
        </w:rPr>
        <w:t>基金项目的培育计划</w:t>
      </w:r>
      <w:r>
        <w:rPr>
          <w:rFonts w:hint="eastAsia" w:ascii="仿宋_GB2312" w:eastAsia="仿宋_GB2312"/>
          <w:sz w:val="32"/>
        </w:rPr>
        <w:t>，首批重点培育8个项目，匹配专项资金外请专家辅导。加强科研项目监管，修订科研诚信实施方案及项目管理办法，全面优化医院科研管理体系。</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科研成果丰硕。全年立项基金会项目、市级以上项目及院内项目共计97项，获批和匹配科研经费898万元。其中2025年度自治区自然科学基金项目4项，自治区医师协会科研项目6项，内蒙古医学科学院项目50项，鄂尔多斯市科技计划项目14项，院内科研项目15项，其他项目8项。高质量完成39项科研项目结题验收，获自治区医学会科学技术奖三等奖1项。全年发表医疗类论文125篇，其中SCI30篇、核心期刊26篇，参与编写著作19部，获批发明专利13项。（2）教学能力大幅提升。4人获评内蒙古医科大学博士研究生导师，61人获评内蒙古医科大学及包头医学院硕士研究生导师，2人获评教授职称，10人获评副教授职称，35人取得教师资格，进一步丰富了师资力量，提高了学术地位。</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三生”培养再创新高。全年毕业本科生83名、硕士研究生37名、住培生39名。本科生考研录取率52%；本科生、硕士研究生就业率84.26%；硕士研究生、住培生结业考核通过率100%，执业医师资格首考通过率87.5%。招生数量逐年提升，2024年招收本科生82名、硕士研究生54名、住培生45名、全科医师转岗培训学员126名。新遴选全科基层实践基地，全科住培质量稳步提升。在高质量完成各项教学任务的同时，顺利完成了3项国家级和89项自治区级继续医学教育的项目授课工作。</w:t>
      </w:r>
    </w:p>
    <w:p>
      <w:pPr>
        <w:autoSpaceDE w:val="0"/>
        <w:autoSpaceDN w:val="0"/>
        <w:adjustRightInd w:val="0"/>
        <w:spacing w:line="600" w:lineRule="exact"/>
        <w:ind w:firstLine="640" w:firstLineChars="200"/>
        <w:rPr>
          <w:rFonts w:ascii="仿宋_GB2312" w:eastAsia="仿宋_GB2312"/>
          <w:sz w:val="32"/>
        </w:rPr>
      </w:pPr>
      <w:r>
        <w:rPr>
          <w:rFonts w:ascii="仿宋_GB2312" w:eastAsia="仿宋_GB2312"/>
          <w:sz w:val="32"/>
        </w:rPr>
        <w:t>5.</w:t>
      </w:r>
      <w:r>
        <w:rPr>
          <w:rFonts w:hint="eastAsia" w:ascii="仿宋_GB2312" w:eastAsia="仿宋_GB2312"/>
          <w:sz w:val="32"/>
        </w:rPr>
        <w:t>提升医疗质量</w:t>
      </w:r>
      <w:r>
        <w:rPr>
          <w:rFonts w:ascii="仿宋_GB2312" w:eastAsia="仿宋_GB2312"/>
          <w:sz w:val="32"/>
        </w:rPr>
        <w:t>。</w:t>
      </w:r>
      <w:r>
        <w:rPr>
          <w:rFonts w:hint="eastAsia" w:ascii="仿宋_GB2312" w:eastAsia="仿宋_GB2312"/>
          <w:sz w:val="32"/>
        </w:rPr>
        <w:t>健全医疗质量管理组织体系，调整各专业委员会成员，更新质控考核标准。对全院764项院级管理制度进行回顾评估，新制定、修订31项，废止11项。规范医疗技术管理，</w:t>
      </w:r>
      <w:r>
        <w:rPr>
          <w:rFonts w:ascii="仿宋_GB2312" w:eastAsia="仿宋_GB2312"/>
          <w:sz w:val="32"/>
        </w:rPr>
        <w:t>成功开展临床新技术新项目101项，其中30项在院内评审中获奖</w:t>
      </w:r>
      <w:r>
        <w:rPr>
          <w:rFonts w:hint="eastAsia" w:ascii="仿宋_GB2312" w:eastAsia="仿宋_GB2312"/>
          <w:sz w:val="32"/>
        </w:rPr>
        <w:t>。开展品管圈项目70项，700余人参与，6项获奖。第四代达芬奇机器人正式投入使用，完成手术61例。开展病历质量提升专项行动，主要诊断正确率、手术编码准确率均有提升。紧锣密鼓推进五级电子病历复审，为医院信息化建设和精细化管理奠定基础。开展MDT会诊39次，组织罕见病MDT远程学习28次。急诊、门诊、日间医疗质量以及手术质量均有提升，药品器械管理进一步加强，护理、感控质量持续改进，医院《质量简报》在第三届中国医疗质量大会中荣获典型实例，1项品管圈项目在全国论坛获奖。</w:t>
      </w:r>
    </w:p>
    <w:p>
      <w:pPr>
        <w:autoSpaceDE w:val="0"/>
        <w:autoSpaceDN w:val="0"/>
        <w:adjustRightInd w:val="0"/>
        <w:spacing w:line="600" w:lineRule="exact"/>
        <w:ind w:firstLine="640" w:firstLineChars="200"/>
        <w:rPr>
          <w:rFonts w:ascii="仿宋_GB2312" w:eastAsia="仿宋_GB2312"/>
          <w:sz w:val="32"/>
        </w:rPr>
      </w:pPr>
      <w:r>
        <w:rPr>
          <w:rFonts w:ascii="仿宋_GB2312" w:eastAsia="仿宋_GB2312"/>
          <w:sz w:val="32"/>
        </w:rPr>
        <w:t>6.</w:t>
      </w:r>
      <w:r>
        <w:rPr>
          <w:rFonts w:hint="eastAsia" w:ascii="仿宋_GB2312" w:eastAsia="仿宋_GB2312"/>
          <w:sz w:val="32"/>
        </w:rPr>
        <w:t>精细运营管理</w:t>
      </w:r>
      <w:r>
        <w:rPr>
          <w:rFonts w:ascii="仿宋_GB2312" w:eastAsia="仿宋_GB2312"/>
          <w:sz w:val="32"/>
        </w:rPr>
        <w:t>。</w:t>
      </w:r>
      <w:r>
        <w:rPr>
          <w:rFonts w:hint="eastAsia" w:ascii="仿宋_GB2312" w:eastAsia="仿宋_GB2312"/>
          <w:sz w:val="32"/>
        </w:rPr>
        <w:t>（1）围绕服务临床、服务患者，推行行政后勤‘3S’理念，有效提升了行政后勤团队的专业能力和服务水平；推行医技检查集中预约理念，逐步实现检查资源的合理调配；推行护理“弹性”和“磁性”管理理念，激发护理人员的积极性和创造力；推行全院“8S”管理，塑造标准化的工作环境和管理流程。（2）围绕提质增效，强化运营管理。建立医院数据中心，实现医疗数据的集中管理和高效利用。实行全面预算管理，线上智能报销，提高资金使用效率，2024年专项资金使用率达到99.56%。实现专科运营助理的科室全覆盖，开展院、科两级运营分析，精准定位运营短板，制定针对性改进措施。建设医院内部控制体系，提升财务和招采等经济活动的合规性和透明度。升级3.0版本绩效分配方案，优化多维度的评价指标。运行医用耗材SPD，精细化耗材物资管理。（3）围绕持续发展，夯实基础建设。购入630台（件）先进医疗设备，诊疗能力显著提升。全年自修医疗设备3200台（件），自修率高达80%，节省维修资金约400万元。规范后勤物资采购，节省资金约350万元。东胜部医疗综合楼如期竣工，急诊科、儿科和妇产科门诊，以及神经内科和心血管内科病房已迁入新楼，群众就医环境得到极大改善，“急群众之所急”的五大中心服务体系正逐步形成。高端打造康巴什部学术报告厅、中心实验室、医美中心及东胜部智慧教室、录播室等39项建设项目，进一步优化了医院功能布局，提升了医院整体形象。高效推进平安医院建设，全面完善人防、物防、技防相结合的“三位一体”安防体系，强化主要出入口的日常安检措施，更换了433部高清摄像机。高度重视安全生产工作，认真进行安全检查，排查整改153项消防隐患，为医院稳定运行营造了安全和谐的环境。</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7</w:t>
      </w:r>
      <w:r>
        <w:rPr>
          <w:rFonts w:ascii="仿宋_GB2312" w:eastAsia="仿宋_GB2312"/>
          <w:sz w:val="32"/>
        </w:rPr>
        <w:t>.</w:t>
      </w:r>
      <w:r>
        <w:rPr>
          <w:rFonts w:hint="eastAsia" w:ascii="仿宋_GB2312" w:eastAsia="仿宋_GB2312"/>
          <w:sz w:val="32"/>
        </w:rPr>
        <w:t>改善医疗服务</w:t>
      </w:r>
      <w:r>
        <w:rPr>
          <w:rFonts w:ascii="仿宋_GB2312" w:eastAsia="仿宋_GB2312"/>
          <w:sz w:val="32"/>
        </w:rPr>
        <w:t>。</w:t>
      </w:r>
      <w:r>
        <w:rPr>
          <w:rFonts w:hint="eastAsia" w:ascii="仿宋_GB2312" w:eastAsia="仿宋_GB2312"/>
          <w:sz w:val="32"/>
        </w:rPr>
        <w:t>优化就诊流程，整合CT室、MRI室、放射科为统一的大影像科；设立了预住院中心，开展超声、CT、MRI、胃肠镜检查一站式精准预约服务，检查项目基本实现24小时内完成。</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门诊、住院费用连续三年降低，2024年门诊次均费用351.22元，降低7.98元，降幅2.22%；住院次均费用10194.86元，降低1217.14元，降幅10.67%，相当于全年为医保基金和患者减轻经济负担超过1亿元，用实际行动诠释了医院的公益性质和社会担当。</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积极履行社会责任，圆满完成了国际煤炭及能源工业博览会、全国乒乓球锦标赛等80次政府指令性医疗保障任务，共派出医务人员338人次，累计保障时长达307天。新成立全市质控中心7个，自筹资金近100万元助力31个挂靠我院的质控中心开展工作，“质量控制基层行”深入旗区医疗机构指导40次，举办学术会议28次，为提升全市医疗质量树立了标杆。派送21名医师赴额济纳旗人民医院、杭锦旗人民医院对口支援，赴鄂旗人民医院开展巡回医疗，共计培训700人次，诊疗服务3000人次。与四所二级医院建立护理联盟，进行帮扶培训。</w:t>
      </w:r>
    </w:p>
    <w:p>
      <w:pPr>
        <w:autoSpaceDE w:val="0"/>
        <w:autoSpaceDN w:val="0"/>
        <w:adjustRightInd w:val="0"/>
        <w:spacing w:line="600" w:lineRule="exact"/>
        <w:ind w:firstLine="640" w:firstLineChars="200"/>
        <w:rPr>
          <w:rFonts w:ascii="仿宋_GB2312" w:eastAsia="仿宋_GB2312"/>
          <w:sz w:val="32"/>
        </w:rPr>
      </w:pPr>
      <w:r>
        <w:rPr>
          <w:rFonts w:hint="eastAsia" w:ascii="仿宋_GB2312" w:eastAsia="仿宋_GB2312"/>
          <w:sz w:val="32"/>
        </w:rPr>
        <w:t>强化党建引领</w:t>
      </w:r>
      <w:r>
        <w:rPr>
          <w:rFonts w:ascii="仿宋_GB2312" w:eastAsia="仿宋_GB2312"/>
          <w:sz w:val="32"/>
        </w:rPr>
        <w:t>。</w:t>
      </w:r>
      <w:r>
        <w:rPr>
          <w:rFonts w:hint="eastAsia" w:ascii="仿宋_GB2312" w:eastAsia="仿宋_GB2312"/>
          <w:sz w:val="32"/>
        </w:rPr>
        <w:t>学习贯彻习近平新时代中国特色社会主义思想，深入贯彻落实党的二十大、二十届二中、三中全会精神，全面加强党的领导和党的建设，推动党建与业务深度融合，以高质量党建引领医院高质量发展。加强人才队伍建设，注重医德医风建设，建成两部文化长廊，树立了良好的行业形象。院党委获评全市先进基层党组织，医院获评全国公立医院党建示范医院100强、国家“美丽医院”建设优秀案例、党建引领全国公立医院文化建设优秀案例，2个党支部分别获评国家和自治区模范，10个党支部获评市级堡垒支部。</w:t>
      </w:r>
    </w:p>
    <w:p>
      <w:pPr>
        <w:widowControl/>
        <w:jc w:val="left"/>
      </w:pPr>
    </w:p>
    <w:p>
      <w:pPr>
        <w:widowControl/>
        <w:spacing w:before="240" w:after="240"/>
        <w:jc w:val="center"/>
        <w:rPr>
          <w:rFonts w:ascii="方正小标宋简体" w:eastAsia="方正小标宋简体"/>
          <w:b/>
          <w:sz w:val="36"/>
        </w:rPr>
      </w:pPr>
      <w:r>
        <w:rPr>
          <w:rFonts w:hint="eastAsia" w:ascii="方正小标宋简体" w:eastAsia="方正小标宋简体"/>
          <w:b/>
          <w:sz w:val="36"/>
        </w:rPr>
        <w:t>第二部分单位决算情况说明</w:t>
      </w:r>
    </w:p>
    <w:p>
      <w:pPr>
        <w:widowControl/>
        <w:spacing w:before="240" w:after="240"/>
        <w:ind w:firstLine="643" w:firstLineChars="200"/>
        <w:rPr>
          <w:rFonts w:ascii="黑体" w:hAnsi="黑体" w:eastAsia="黑体" w:cs="黑体"/>
          <w:b/>
          <w:bCs/>
          <w:kern w:val="0"/>
          <w:sz w:val="32"/>
          <w:szCs w:val="32"/>
        </w:rPr>
      </w:pPr>
      <w:r>
        <w:rPr>
          <w:rFonts w:hint="eastAsia" w:ascii="黑体" w:eastAsia="黑体"/>
          <w:b/>
          <w:sz w:val="32"/>
        </w:rPr>
        <w:t>一、收入支出决算总体情况说明</w:t>
      </w:r>
    </w:p>
    <w:p>
      <w:pPr>
        <w:widowControl/>
        <w:spacing w:before="240" w:after="240"/>
        <w:ind w:firstLine="640" w:firstLineChars="200"/>
        <w:rPr>
          <w:rFonts w:ascii="仿宋_GB2312" w:eastAsia="仿宋_GB2312"/>
          <w:sz w:val="32"/>
        </w:rPr>
      </w:pPr>
      <w:r>
        <w:rPr>
          <w:rFonts w:ascii="仿宋_GB2312" w:eastAsia="仿宋_GB2312"/>
          <w:sz w:val="32"/>
        </w:rPr>
        <w:t>内蒙古自治区鄂尔多斯市中心医院（内蒙古自治区超声影像研究所） 2024年度收入、支出决算总计均为 196</w:t>
      </w:r>
      <w:r>
        <w:rPr>
          <w:rFonts w:hint="eastAsia" w:ascii="仿宋_GB2312" w:eastAsia="仿宋_GB2312"/>
          <w:sz w:val="32"/>
        </w:rPr>
        <w:t>,</w:t>
      </w:r>
      <w:r>
        <w:rPr>
          <w:rFonts w:ascii="仿宋_GB2312" w:eastAsia="仿宋_GB2312"/>
          <w:sz w:val="32"/>
        </w:rPr>
        <w:t>994.37万元。与年初预算相比，收、支总计各减少8</w:t>
      </w:r>
      <w:r>
        <w:rPr>
          <w:rFonts w:hint="eastAsia" w:ascii="仿宋_GB2312" w:eastAsia="仿宋_GB2312"/>
          <w:sz w:val="32"/>
        </w:rPr>
        <w:t>,</w:t>
      </w:r>
      <w:r>
        <w:rPr>
          <w:rFonts w:ascii="仿宋_GB2312" w:eastAsia="仿宋_GB2312"/>
          <w:sz w:val="32"/>
        </w:rPr>
        <w:t>673.42万元，下降4.22%，变动原因：</w:t>
      </w:r>
      <w:r>
        <w:rPr>
          <w:rFonts w:hint="eastAsia" w:ascii="仿宋_GB2312" w:eastAsia="仿宋_GB2312"/>
          <w:sz w:val="32"/>
        </w:rPr>
        <w:t>本年度事业收支较年初预算减少</w:t>
      </w:r>
      <w:r>
        <w:rPr>
          <w:rFonts w:ascii="仿宋_GB2312" w:eastAsia="仿宋_GB2312"/>
          <w:sz w:val="32"/>
        </w:rPr>
        <w:t>；与上年决算相比，收、支总计各增加2</w:t>
      </w:r>
      <w:r>
        <w:rPr>
          <w:rFonts w:hint="eastAsia" w:ascii="仿宋_GB2312" w:eastAsia="仿宋_GB2312"/>
          <w:sz w:val="32"/>
        </w:rPr>
        <w:t>,</w:t>
      </w:r>
      <w:r>
        <w:rPr>
          <w:rFonts w:ascii="仿宋_GB2312" w:eastAsia="仿宋_GB2312"/>
          <w:sz w:val="32"/>
        </w:rPr>
        <w:t>631.61万元，增长 1.35%。</w:t>
      </w:r>
      <w:r>
        <w:rPr>
          <w:rFonts w:hint="eastAsia" w:ascii="仿宋_GB2312" w:eastAsia="仿宋_GB2312"/>
          <w:sz w:val="32"/>
        </w:rPr>
        <w:t>原因：本年度科技项目收支、重点学科建设经费收支、创建全国无障碍建设示范城市无障碍改造项目收支等较上年增加。</w:t>
      </w:r>
    </w:p>
    <w:p>
      <w:pPr>
        <w:widowControl/>
        <w:spacing w:before="240" w:after="240"/>
        <w:ind w:firstLine="643" w:firstLineChars="200"/>
        <w:rPr>
          <w:rFonts w:ascii="楷体" w:eastAsia="楷体"/>
          <w:b/>
          <w:sz w:val="32"/>
        </w:rPr>
      </w:pPr>
      <w:r>
        <w:rPr>
          <w:rFonts w:hint="eastAsia" w:ascii="楷体" w:eastAsia="楷体"/>
          <w:b/>
          <w:sz w:val="32"/>
        </w:rPr>
        <w:t>（一）收入决算总计 </w:t>
      </w:r>
      <w:r>
        <w:rPr>
          <w:rFonts w:ascii="楷体" w:eastAsia="楷体"/>
          <w:b/>
          <w:sz w:val="32"/>
        </w:rPr>
        <w:t>196</w:t>
      </w:r>
      <w:r>
        <w:rPr>
          <w:rFonts w:hint="eastAsia" w:ascii="楷体" w:eastAsia="楷体"/>
          <w:b/>
          <w:sz w:val="32"/>
        </w:rPr>
        <w:t>,</w:t>
      </w:r>
      <w:r>
        <w:rPr>
          <w:rFonts w:ascii="楷体" w:eastAsia="楷体"/>
          <w:b/>
          <w:sz w:val="32"/>
        </w:rPr>
        <w:t>994.37</w:t>
      </w:r>
      <w:r>
        <w:rPr>
          <w:rFonts w:hint="eastAsia" w:ascii="楷体" w:eastAsia="楷体"/>
          <w:b/>
          <w:sz w:val="32"/>
        </w:rPr>
        <w:t>万元。包括：</w:t>
      </w:r>
    </w:p>
    <w:p>
      <w:pPr>
        <w:widowControl/>
        <w:spacing w:before="240" w:after="240"/>
        <w:ind w:firstLine="640" w:firstLineChars="200"/>
        <w:rPr>
          <w:rFonts w:ascii="仿宋_GB2312" w:eastAsia="仿宋_GB2312"/>
          <w:sz w:val="32"/>
        </w:rPr>
      </w:pPr>
      <w:r>
        <w:rPr>
          <w:rFonts w:ascii="仿宋_GB2312" w:eastAsia="仿宋_GB2312"/>
          <w:sz w:val="32"/>
        </w:rPr>
        <w:t>1.本年收入决算合计 193</w:t>
      </w:r>
      <w:r>
        <w:rPr>
          <w:rFonts w:hint="eastAsia" w:ascii="仿宋_GB2312" w:eastAsia="仿宋_GB2312"/>
          <w:sz w:val="32"/>
        </w:rPr>
        <w:t>,</w:t>
      </w:r>
      <w:r>
        <w:rPr>
          <w:rFonts w:ascii="仿宋_GB2312" w:eastAsia="仿宋_GB2312"/>
          <w:sz w:val="32"/>
        </w:rPr>
        <w:t>867.94万元。与上年决算相比，增加 1</w:t>
      </w:r>
      <w:r>
        <w:rPr>
          <w:rFonts w:hint="eastAsia" w:ascii="仿宋_GB2312" w:eastAsia="仿宋_GB2312"/>
          <w:sz w:val="32"/>
        </w:rPr>
        <w:t>,</w:t>
      </w:r>
      <w:r>
        <w:rPr>
          <w:rFonts w:ascii="仿宋_GB2312" w:eastAsia="仿宋_GB2312"/>
          <w:sz w:val="32"/>
        </w:rPr>
        <w:t>619.21万元，增长 0.84%，变动原因：</w:t>
      </w:r>
      <w:r>
        <w:rPr>
          <w:rFonts w:hint="eastAsia" w:ascii="仿宋_GB2312" w:eastAsia="仿宋_GB2312"/>
          <w:sz w:val="32"/>
        </w:rPr>
        <w:t>本年度科技项目收入、重点学科建设经费收入、药采中心结余留用收入等较上年大幅增加</w:t>
      </w:r>
      <w:r>
        <w:rPr>
          <w:rFonts w:ascii="仿宋_GB2312" w:eastAsia="仿宋_GB2312"/>
          <w:sz w:val="32"/>
        </w:rPr>
        <w:t>。</w:t>
      </w:r>
    </w:p>
    <w:p>
      <w:pPr>
        <w:widowControl/>
        <w:spacing w:before="240" w:after="240"/>
        <w:ind w:firstLine="640" w:firstLineChars="200"/>
        <w:rPr>
          <w:rFonts w:ascii="仿宋_GB2312" w:eastAsia="仿宋_GB2312"/>
          <w:sz w:val="32"/>
        </w:rPr>
      </w:pPr>
      <w:r>
        <w:rPr>
          <w:rFonts w:ascii="仿宋_GB2312" w:eastAsia="仿宋_GB2312"/>
          <w:sz w:val="32"/>
        </w:rPr>
        <w:t>2.使用非财政拨款结余（含专用结余） 0万元。与上年决算相比，增加 0万元，增长 0%。变动原因：</w:t>
      </w:r>
      <w:r>
        <w:rPr>
          <w:rFonts w:hint="eastAsia" w:ascii="仿宋_GB2312" w:eastAsia="仿宋_GB2312"/>
          <w:sz w:val="32"/>
        </w:rPr>
        <w:t>本单位无使用非财政拨款结余（含专用结余）。</w:t>
      </w:r>
    </w:p>
    <w:p>
      <w:pPr>
        <w:widowControl/>
        <w:spacing w:before="240" w:after="240"/>
        <w:ind w:firstLine="640" w:firstLineChars="200"/>
        <w:rPr>
          <w:rFonts w:eastAsia="楷体"/>
          <w:sz w:val="32"/>
        </w:rPr>
      </w:pPr>
      <w:r>
        <w:rPr>
          <w:rFonts w:ascii="仿宋_GB2312" w:eastAsia="仿宋_GB2312"/>
          <w:sz w:val="32"/>
        </w:rPr>
        <w:t>3.年初结转和结余 3</w:t>
      </w:r>
      <w:r>
        <w:rPr>
          <w:rFonts w:hint="eastAsia" w:ascii="仿宋_GB2312" w:eastAsia="仿宋_GB2312"/>
          <w:sz w:val="32"/>
        </w:rPr>
        <w:t>,</w:t>
      </w:r>
      <w:r>
        <w:rPr>
          <w:rFonts w:ascii="仿宋_GB2312" w:eastAsia="仿宋_GB2312"/>
          <w:sz w:val="32"/>
        </w:rPr>
        <w:t>126.42万元。与上年决算相比，增加 1</w:t>
      </w:r>
      <w:r>
        <w:rPr>
          <w:rFonts w:hint="eastAsia" w:ascii="仿宋_GB2312" w:eastAsia="仿宋_GB2312"/>
          <w:sz w:val="32"/>
        </w:rPr>
        <w:t>,</w:t>
      </w:r>
      <w:r>
        <w:rPr>
          <w:rFonts w:ascii="仿宋_GB2312" w:eastAsia="仿宋_GB2312"/>
          <w:sz w:val="32"/>
        </w:rPr>
        <w:t>012.39万元，增长 47.89%，变动原因：</w:t>
      </w:r>
      <w:r>
        <w:rPr>
          <w:rFonts w:hint="eastAsia" w:ascii="仿宋_GB2312" w:eastAsia="仿宋_GB2312"/>
          <w:sz w:val="32"/>
        </w:rPr>
        <w:t>本年度结转资金增加2023年市本级重点研发计划专项资金、2023年自治区自然科学基金等。</w:t>
      </w:r>
    </w:p>
    <w:p>
      <w:pPr>
        <w:widowControl/>
        <w:spacing w:before="240" w:after="240"/>
        <w:ind w:firstLine="643" w:firstLineChars="200"/>
        <w:jc w:val="left"/>
        <w:rPr>
          <w:rFonts w:ascii="楷体" w:eastAsia="楷体"/>
          <w:b/>
          <w:sz w:val="32"/>
        </w:rPr>
      </w:pPr>
      <w:r>
        <w:rPr>
          <w:rFonts w:hint="eastAsia" w:ascii="楷体" w:eastAsia="楷体"/>
          <w:b/>
          <w:sz w:val="32"/>
        </w:rPr>
        <w:t>（二）支出决算总计</w:t>
      </w:r>
      <w:r>
        <w:rPr>
          <w:rFonts w:ascii="楷体" w:eastAsia="楷体"/>
          <w:b/>
          <w:sz w:val="32"/>
        </w:rPr>
        <w:t> 196</w:t>
      </w:r>
      <w:r>
        <w:rPr>
          <w:rFonts w:hint="eastAsia" w:ascii="楷体" w:eastAsia="楷体"/>
          <w:b/>
          <w:sz w:val="32"/>
        </w:rPr>
        <w:t>,</w:t>
      </w:r>
      <w:r>
        <w:rPr>
          <w:rFonts w:ascii="楷体" w:eastAsia="楷体"/>
          <w:b/>
          <w:sz w:val="32"/>
        </w:rPr>
        <w:t>994.37</w:t>
      </w:r>
      <w:r>
        <w:rPr>
          <w:rFonts w:hint="eastAsia" w:ascii="楷体" w:eastAsia="楷体"/>
          <w:b/>
          <w:sz w:val="32"/>
        </w:rPr>
        <w:t>万元。包括：</w:t>
      </w:r>
    </w:p>
    <w:p>
      <w:pPr>
        <w:widowControl/>
        <w:spacing w:before="240" w:after="240"/>
        <w:ind w:firstLine="640" w:firstLineChars="200"/>
        <w:jc w:val="left"/>
        <w:rPr>
          <w:rFonts w:ascii="仿宋_GB2312" w:eastAsia="仿宋_GB2312"/>
          <w:sz w:val="32"/>
        </w:rPr>
      </w:pPr>
      <w:r>
        <w:rPr>
          <w:rFonts w:ascii="仿宋_GB2312" w:eastAsia="仿宋_GB2312"/>
          <w:sz w:val="32"/>
        </w:rPr>
        <w:t>1.本年支出决算合计 182</w:t>
      </w:r>
      <w:r>
        <w:rPr>
          <w:rFonts w:hint="eastAsia" w:ascii="仿宋_GB2312" w:eastAsia="仿宋_GB2312"/>
          <w:sz w:val="32"/>
        </w:rPr>
        <w:t>,</w:t>
      </w:r>
      <w:r>
        <w:rPr>
          <w:rFonts w:ascii="仿宋_GB2312" w:eastAsia="仿宋_GB2312"/>
          <w:sz w:val="32"/>
        </w:rPr>
        <w:t>768.36万元。与上年决算相比，减少8</w:t>
      </w:r>
      <w:r>
        <w:rPr>
          <w:rFonts w:hint="eastAsia" w:ascii="仿宋_GB2312" w:eastAsia="仿宋_GB2312"/>
          <w:sz w:val="32"/>
        </w:rPr>
        <w:t>,</w:t>
      </w:r>
      <w:r>
        <w:rPr>
          <w:rFonts w:ascii="仿宋_GB2312" w:eastAsia="仿宋_GB2312"/>
          <w:sz w:val="32"/>
        </w:rPr>
        <w:t>127.68万元，下降4.26%，变动原因：</w:t>
      </w:r>
      <w:r>
        <w:rPr>
          <w:rFonts w:hint="eastAsia" w:ascii="仿宋_GB2312" w:eastAsia="仿宋_GB2312"/>
          <w:sz w:val="32"/>
        </w:rPr>
        <w:t>本年度设备购置、专用材料购置较上年下降</w:t>
      </w:r>
      <w:r>
        <w:rPr>
          <w:rFonts w:ascii="仿宋_GB2312" w:eastAsia="仿宋_GB2312"/>
          <w:sz w:val="32"/>
        </w:rPr>
        <w:t>。</w:t>
      </w:r>
    </w:p>
    <w:p>
      <w:pPr>
        <w:widowControl/>
        <w:spacing w:before="240" w:after="240"/>
        <w:ind w:firstLine="640" w:firstLineChars="200"/>
        <w:rPr>
          <w:rFonts w:ascii="仿宋_GB2312" w:eastAsia="仿宋_GB2312"/>
          <w:sz w:val="32"/>
        </w:rPr>
      </w:pPr>
      <w:r>
        <w:rPr>
          <w:rFonts w:ascii="仿宋_GB2312" w:eastAsia="仿宋_GB2312"/>
          <w:sz w:val="32"/>
        </w:rPr>
        <w:t>2.结余分配 7</w:t>
      </w:r>
      <w:r>
        <w:rPr>
          <w:rFonts w:hint="eastAsia" w:ascii="仿宋_GB2312" w:eastAsia="仿宋_GB2312"/>
          <w:sz w:val="32"/>
        </w:rPr>
        <w:t>,</w:t>
      </w:r>
      <w:r>
        <w:rPr>
          <w:rFonts w:ascii="仿宋_GB2312" w:eastAsia="仿宋_GB2312"/>
          <w:sz w:val="32"/>
        </w:rPr>
        <w:t>657.81万元。结余分配事项：结余分配7</w:t>
      </w:r>
      <w:r>
        <w:rPr>
          <w:rFonts w:hint="eastAsia" w:ascii="仿宋_GB2312" w:eastAsia="仿宋_GB2312"/>
          <w:sz w:val="32"/>
        </w:rPr>
        <w:t>,</w:t>
      </w:r>
      <w:r>
        <w:rPr>
          <w:rFonts w:ascii="仿宋_GB2312" w:eastAsia="仿宋_GB2312"/>
          <w:sz w:val="32"/>
        </w:rPr>
        <w:t>657.81万元，专用结余（提取职工福利基金）81.02万元</w:t>
      </w:r>
      <w:r>
        <w:rPr>
          <w:rFonts w:hint="eastAsia" w:ascii="仿宋_GB2312" w:eastAsia="仿宋_GB2312"/>
          <w:sz w:val="32"/>
        </w:rPr>
        <w:t>,转入非财政拨款结余</w:t>
      </w:r>
      <w:r>
        <w:rPr>
          <w:rFonts w:ascii="仿宋_GB2312" w:eastAsia="仿宋_GB2312"/>
          <w:sz w:val="32"/>
        </w:rPr>
        <w:t>7</w:t>
      </w:r>
      <w:r>
        <w:rPr>
          <w:rFonts w:hint="eastAsia" w:ascii="仿宋_GB2312" w:eastAsia="仿宋_GB2312"/>
          <w:sz w:val="32"/>
        </w:rPr>
        <w:t>,</w:t>
      </w:r>
      <w:r>
        <w:rPr>
          <w:rFonts w:ascii="仿宋_GB2312" w:eastAsia="仿宋_GB2312"/>
          <w:sz w:val="32"/>
        </w:rPr>
        <w:t>576.79</w:t>
      </w:r>
      <w:r>
        <w:rPr>
          <w:rFonts w:hint="eastAsia" w:ascii="仿宋_GB2312" w:eastAsia="仿宋_GB2312"/>
          <w:sz w:val="32"/>
        </w:rPr>
        <w:t>万元</w:t>
      </w:r>
      <w:r>
        <w:rPr>
          <w:rFonts w:ascii="仿宋_GB2312" w:eastAsia="仿宋_GB2312"/>
          <w:sz w:val="32"/>
        </w:rPr>
        <w:t>。与上年决算相比，增加 6</w:t>
      </w:r>
      <w:r>
        <w:rPr>
          <w:rFonts w:hint="eastAsia" w:ascii="仿宋_GB2312" w:eastAsia="仿宋_GB2312"/>
          <w:sz w:val="32"/>
        </w:rPr>
        <w:t>,</w:t>
      </w:r>
      <w:r>
        <w:rPr>
          <w:rFonts w:ascii="仿宋_GB2312" w:eastAsia="仿宋_GB2312"/>
          <w:sz w:val="32"/>
        </w:rPr>
        <w:t>531.62万元，增长 579.98%，变动原因：</w:t>
      </w:r>
      <w:r>
        <w:rPr>
          <w:rFonts w:hint="eastAsia" w:ascii="仿宋_GB2312" w:eastAsia="仿宋_GB2312"/>
          <w:sz w:val="32"/>
        </w:rPr>
        <w:t>本年度基本支出较上年下降，从而导致本年结余分配</w:t>
      </w:r>
      <w:r>
        <w:rPr>
          <w:rFonts w:ascii="仿宋_GB2312" w:eastAsia="仿宋_GB2312"/>
          <w:sz w:val="32"/>
        </w:rPr>
        <w:t>与上年决算相比</w:t>
      </w:r>
      <w:r>
        <w:rPr>
          <w:rFonts w:hint="eastAsia" w:ascii="仿宋_GB2312" w:eastAsia="仿宋_GB2312"/>
          <w:sz w:val="32"/>
        </w:rPr>
        <w:t>增加</w:t>
      </w:r>
      <w:r>
        <w:rPr>
          <w:rFonts w:ascii="仿宋_GB2312" w:eastAsia="仿宋_GB2312"/>
          <w:sz w:val="32"/>
        </w:rPr>
        <w:t>。</w:t>
      </w:r>
    </w:p>
    <w:p>
      <w:pPr>
        <w:widowControl/>
        <w:spacing w:before="240" w:after="240"/>
        <w:ind w:firstLine="640" w:firstLineChars="200"/>
        <w:rPr>
          <w:rFonts w:ascii="仿宋_GB2312" w:eastAsia="仿宋_GB2312"/>
          <w:sz w:val="32"/>
        </w:rPr>
      </w:pPr>
      <w:r>
        <w:rPr>
          <w:rFonts w:ascii="仿宋_GB2312" w:eastAsia="仿宋_GB2312"/>
          <w:sz w:val="32"/>
        </w:rPr>
        <w:t>3.年末结转和结余 6</w:t>
      </w:r>
      <w:r>
        <w:rPr>
          <w:rFonts w:hint="eastAsia" w:ascii="仿宋_GB2312" w:eastAsia="仿宋_GB2312"/>
          <w:sz w:val="32"/>
        </w:rPr>
        <w:t>,</w:t>
      </w:r>
      <w:r>
        <w:rPr>
          <w:rFonts w:ascii="仿宋_GB2312" w:eastAsia="仿宋_GB2312"/>
          <w:sz w:val="32"/>
        </w:rPr>
        <w:t>568.20万元。结转和结余事项：项目支出结转和结余</w:t>
      </w:r>
      <w:r>
        <w:rPr>
          <w:rFonts w:hint="eastAsia" w:ascii="仿宋_GB2312" w:eastAsia="仿宋_GB2312"/>
          <w:sz w:val="32"/>
        </w:rPr>
        <w:t>6,568.20</w:t>
      </w:r>
      <w:r>
        <w:rPr>
          <w:rFonts w:ascii="仿宋_GB2312" w:eastAsia="仿宋_GB2312"/>
          <w:sz w:val="32"/>
        </w:rPr>
        <w:t>万元</w:t>
      </w:r>
      <w:r>
        <w:rPr>
          <w:rFonts w:hint="eastAsia" w:ascii="仿宋_GB2312" w:eastAsia="仿宋_GB2312"/>
          <w:sz w:val="32"/>
        </w:rPr>
        <w:t>，其中财政拨款结转1,650.45万元，非财政拨款结转4917.75万元</w:t>
      </w:r>
      <w:r>
        <w:rPr>
          <w:rFonts w:ascii="仿宋_GB2312" w:eastAsia="仿宋_GB2312"/>
          <w:sz w:val="32"/>
        </w:rPr>
        <w:t>。与上年决算相比，增加 4</w:t>
      </w:r>
      <w:r>
        <w:rPr>
          <w:rFonts w:hint="eastAsia" w:ascii="仿宋_GB2312" w:eastAsia="仿宋_GB2312"/>
          <w:sz w:val="32"/>
        </w:rPr>
        <w:t>,</w:t>
      </w:r>
      <w:r>
        <w:rPr>
          <w:rFonts w:ascii="仿宋_GB2312" w:eastAsia="仿宋_GB2312"/>
          <w:sz w:val="32"/>
        </w:rPr>
        <w:t>227.67万元，增长 180.63%，变动原因：本年度科技项目</w:t>
      </w:r>
      <w:r>
        <w:rPr>
          <w:rFonts w:hint="eastAsia" w:ascii="仿宋_GB2312" w:eastAsia="仿宋_GB2312"/>
          <w:sz w:val="32"/>
        </w:rPr>
        <w:t>结转资金</w:t>
      </w:r>
      <w:r>
        <w:rPr>
          <w:rFonts w:ascii="仿宋_GB2312" w:eastAsia="仿宋_GB2312"/>
          <w:sz w:val="32"/>
        </w:rPr>
        <w:t>增加</w:t>
      </w:r>
      <w:r>
        <w:rPr>
          <w:rFonts w:hint="eastAsia" w:ascii="仿宋_GB2312" w:eastAsia="仿宋_GB2312"/>
          <w:sz w:val="32"/>
        </w:rPr>
        <w:t>、药品集中带量采购医保结余资金增加</w:t>
      </w:r>
      <w:r>
        <w:rPr>
          <w:rFonts w:ascii="仿宋_GB2312" w:eastAsia="仿宋_GB2312"/>
          <w:sz w:val="32"/>
        </w:rPr>
        <w:t>。</w:t>
      </w:r>
    </w:p>
    <w:p>
      <w:pPr>
        <w:widowControl/>
        <w:spacing w:before="240" w:after="240"/>
        <w:ind w:firstLine="643" w:firstLineChars="200"/>
        <w:rPr>
          <w:rFonts w:eastAsia="Times New Roman"/>
          <w:kern w:val="0"/>
          <w:sz w:val="24"/>
        </w:rPr>
      </w:pPr>
      <w:r>
        <w:rPr>
          <w:rFonts w:hint="eastAsia" w:ascii="黑体" w:eastAsia="黑体"/>
          <w:b/>
          <w:sz w:val="32"/>
        </w:rPr>
        <w:t>二、收入决算情况说明</w:t>
      </w:r>
    </w:p>
    <w:p>
      <w:pPr>
        <w:widowControl/>
        <w:spacing w:before="240" w:after="240"/>
        <w:ind w:firstLine="640" w:firstLineChars="200"/>
        <w:jc w:val="left"/>
        <w:rPr>
          <w:rFonts w:ascii="仿宋_GB2312" w:eastAsia="仿宋_GB2312"/>
          <w:sz w:val="32"/>
        </w:rPr>
      </w:pPr>
      <w:r>
        <w:rPr>
          <w:rFonts w:ascii="仿宋_GB2312" w:eastAsia="仿宋_GB2312"/>
          <w:sz w:val="32"/>
        </w:rPr>
        <w:t>内蒙古自治区鄂尔多斯市中心医院（内蒙古自治区超声影像研究所） 2024年度本年收入决算合计 193</w:t>
      </w:r>
      <w:r>
        <w:rPr>
          <w:rFonts w:hint="eastAsia" w:ascii="仿宋_GB2312" w:eastAsia="仿宋_GB2312"/>
          <w:sz w:val="32"/>
        </w:rPr>
        <w:t>,</w:t>
      </w:r>
      <w:r>
        <w:rPr>
          <w:rFonts w:ascii="仿宋_GB2312" w:eastAsia="仿宋_GB2312"/>
          <w:sz w:val="32"/>
        </w:rPr>
        <w:t>867.94万元，其中：</w:t>
      </w:r>
    </w:p>
    <w:p>
      <w:pPr>
        <w:widowControl/>
        <w:spacing w:line="560" w:lineRule="exact"/>
        <w:ind w:firstLine="640" w:firstLineChars="200"/>
        <w:jc w:val="left"/>
        <w:rPr>
          <w:rFonts w:ascii="仿宋_GB2312" w:eastAsia="仿宋_GB2312"/>
          <w:sz w:val="32"/>
        </w:rPr>
      </w:pPr>
      <w:r>
        <w:rPr>
          <w:rFonts w:ascii="仿宋_GB2312" w:eastAsia="仿宋_GB2312"/>
          <w:sz w:val="32"/>
        </w:rPr>
        <w:t>本年一般公共预算财政拨款收入 42</w:t>
      </w:r>
      <w:r>
        <w:rPr>
          <w:rFonts w:hint="eastAsia" w:ascii="仿宋_GB2312" w:eastAsia="仿宋_GB2312"/>
          <w:sz w:val="32"/>
        </w:rPr>
        <w:t>,</w:t>
      </w:r>
      <w:r>
        <w:rPr>
          <w:rFonts w:ascii="仿宋_GB2312" w:eastAsia="仿宋_GB2312"/>
          <w:sz w:val="32"/>
        </w:rPr>
        <w:t>446.11万元，占 21.89%；</w:t>
      </w:r>
    </w:p>
    <w:p>
      <w:pPr>
        <w:widowControl/>
        <w:spacing w:line="560" w:lineRule="exact"/>
        <w:ind w:firstLine="640" w:firstLineChars="200"/>
        <w:jc w:val="left"/>
        <w:rPr>
          <w:rFonts w:ascii="仿宋_GB2312" w:eastAsia="仿宋_GB2312"/>
          <w:sz w:val="32"/>
        </w:rPr>
      </w:pPr>
      <w:r>
        <w:rPr>
          <w:rFonts w:ascii="仿宋_GB2312" w:eastAsia="仿宋_GB2312"/>
          <w:sz w:val="32"/>
        </w:rPr>
        <w:t>本年政府性基金预算财政拨款收入 0万元，占 0%；</w:t>
      </w:r>
    </w:p>
    <w:p>
      <w:pPr>
        <w:widowControl/>
        <w:spacing w:line="560" w:lineRule="exact"/>
        <w:ind w:firstLine="640" w:firstLineChars="200"/>
        <w:jc w:val="left"/>
        <w:rPr>
          <w:rFonts w:ascii="仿宋_GB2312" w:eastAsia="仿宋_GB2312"/>
          <w:sz w:val="32"/>
        </w:rPr>
      </w:pPr>
      <w:r>
        <w:rPr>
          <w:rFonts w:ascii="仿宋_GB2312" w:eastAsia="仿宋_GB2312"/>
          <w:sz w:val="32"/>
        </w:rPr>
        <w:t>本年国有资本经营预算财政拨款收入 0万元，占 0%；</w:t>
      </w:r>
    </w:p>
    <w:p>
      <w:pPr>
        <w:widowControl/>
        <w:spacing w:line="560" w:lineRule="exact"/>
        <w:ind w:firstLine="640" w:firstLineChars="200"/>
        <w:jc w:val="left"/>
        <w:rPr>
          <w:rFonts w:ascii="仿宋_GB2312" w:eastAsia="仿宋_GB2312"/>
          <w:sz w:val="32"/>
        </w:rPr>
      </w:pPr>
      <w:r>
        <w:rPr>
          <w:rFonts w:ascii="仿宋_GB2312" w:eastAsia="仿宋_GB2312"/>
          <w:sz w:val="32"/>
        </w:rPr>
        <w:t>本年上级补助收入 0万元，占 0%；</w:t>
      </w:r>
    </w:p>
    <w:p>
      <w:pPr>
        <w:widowControl/>
        <w:spacing w:line="560" w:lineRule="exact"/>
        <w:ind w:firstLine="640" w:firstLineChars="200"/>
        <w:jc w:val="left"/>
        <w:rPr>
          <w:rFonts w:ascii="仿宋_GB2312" w:eastAsia="仿宋_GB2312"/>
          <w:sz w:val="32"/>
        </w:rPr>
      </w:pPr>
      <w:r>
        <w:rPr>
          <w:rFonts w:ascii="仿宋_GB2312" w:eastAsia="仿宋_GB2312"/>
          <w:sz w:val="32"/>
        </w:rPr>
        <w:t>本年事业收入 147</w:t>
      </w:r>
      <w:r>
        <w:rPr>
          <w:rFonts w:hint="eastAsia" w:ascii="仿宋_GB2312" w:eastAsia="仿宋_GB2312"/>
          <w:sz w:val="32"/>
        </w:rPr>
        <w:t>,</w:t>
      </w:r>
      <w:r>
        <w:rPr>
          <w:rFonts w:ascii="仿宋_GB2312" w:eastAsia="仿宋_GB2312"/>
          <w:sz w:val="32"/>
        </w:rPr>
        <w:t>756.53万元，占 76.22%；</w:t>
      </w:r>
    </w:p>
    <w:p>
      <w:pPr>
        <w:widowControl/>
        <w:spacing w:line="560" w:lineRule="exact"/>
        <w:ind w:firstLine="640" w:firstLineChars="200"/>
        <w:jc w:val="left"/>
        <w:rPr>
          <w:rFonts w:ascii="仿宋_GB2312" w:eastAsia="仿宋_GB2312"/>
          <w:sz w:val="32"/>
        </w:rPr>
      </w:pPr>
      <w:r>
        <w:rPr>
          <w:rFonts w:ascii="仿宋_GB2312" w:eastAsia="仿宋_GB2312"/>
          <w:sz w:val="32"/>
        </w:rPr>
        <w:t> 本年经营收入 0万元，占 0%；</w:t>
      </w:r>
    </w:p>
    <w:p>
      <w:pPr>
        <w:widowControl/>
        <w:spacing w:line="560" w:lineRule="exact"/>
        <w:ind w:firstLine="640" w:firstLineChars="200"/>
        <w:jc w:val="left"/>
        <w:rPr>
          <w:rFonts w:ascii="仿宋_GB2312" w:eastAsia="仿宋_GB2312"/>
          <w:sz w:val="32"/>
        </w:rPr>
      </w:pPr>
      <w:r>
        <w:rPr>
          <w:rFonts w:ascii="仿宋_GB2312" w:eastAsia="仿宋_GB2312"/>
          <w:sz w:val="32"/>
        </w:rPr>
        <w:t> 本年附属单位上缴收入 0万元，占 0%；</w:t>
      </w:r>
    </w:p>
    <w:p>
      <w:pPr>
        <w:widowControl/>
        <w:spacing w:line="560" w:lineRule="exact"/>
        <w:ind w:firstLine="640" w:firstLineChars="200"/>
        <w:jc w:val="left"/>
        <w:rPr>
          <w:rFonts w:ascii="仿宋_GB2312" w:eastAsia="仿宋_GB2312"/>
          <w:sz w:val="32"/>
        </w:rPr>
      </w:pPr>
      <w:r>
        <w:rPr>
          <w:rFonts w:ascii="仿宋_GB2312" w:eastAsia="仿宋_GB2312"/>
          <w:sz w:val="32"/>
        </w:rPr>
        <w:t> 本年其他收入 3</w:t>
      </w:r>
      <w:r>
        <w:rPr>
          <w:rFonts w:hint="eastAsia" w:ascii="仿宋_GB2312" w:eastAsia="仿宋_GB2312"/>
          <w:sz w:val="32"/>
        </w:rPr>
        <w:t>,</w:t>
      </w:r>
      <w:r>
        <w:rPr>
          <w:rFonts w:ascii="仿宋_GB2312" w:eastAsia="仿宋_GB2312"/>
          <w:sz w:val="32"/>
        </w:rPr>
        <w:t>665.30万元，占 1.89%。</w:t>
      </w:r>
    </w:p>
    <w:p>
      <w:pPr>
        <w:widowControl/>
        <w:spacing w:before="240" w:after="240"/>
        <w:rPr>
          <w:rFonts w:eastAsia="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center"/>
        <w:rPr>
          <w:rFonts w:eastAsia="Times New Roman"/>
          <w:kern w:val="0"/>
          <w:sz w:val="24"/>
        </w:rPr>
      </w:pPr>
      <w:r>
        <w:rPr>
          <w:rFonts w:eastAsia="Times New Roman"/>
          <w:kern w:val="0"/>
          <w:sz w:val="24"/>
        </w:rPr>
        <w:drawing>
          <wp:inline distT="0" distB="0" distL="114300" distR="114300">
            <wp:extent cx="5410835" cy="3382645"/>
            <wp:effectExtent l="0" t="0" r="18415" b="825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stretch>
                      <a:fillRect/>
                    </a:stretch>
                  </pic:blipFill>
                  <pic:spPr>
                    <a:xfrm>
                      <a:off x="0" y="0"/>
                      <a:ext cx="5410835" cy="3382645"/>
                    </a:xfrm>
                    <a:prstGeom prst="rect">
                      <a:avLst/>
                    </a:prstGeom>
                    <a:noFill/>
                    <a:ln>
                      <a:noFill/>
                    </a:ln>
                  </pic:spPr>
                </pic:pic>
              </a:graphicData>
            </a:graphic>
          </wp:inline>
        </w:drawing>
      </w:r>
      <w:r>
        <w:rPr>
          <w:rFonts w:eastAsia="Times New Roman"/>
          <w:kern w:val="0"/>
          <w:sz w:val="24"/>
        </w:rPr>
        <w:t xml:space="preserve">  </w:t>
      </w:r>
    </w:p>
    <w:p>
      <w:pPr>
        <w:widowControl/>
        <w:spacing w:before="240" w:after="240"/>
        <w:jc w:val="center"/>
        <w:rPr>
          <w:rFonts w:ascii="仿宋_GB2312" w:hAnsi="仿宋_GB2312" w:eastAsia="仿宋_GB2312" w:cs="仿宋_GB2312"/>
          <w:kern w:val="0"/>
          <w:sz w:val="24"/>
        </w:rPr>
      </w:pPr>
      <w:r>
        <w:rPr>
          <w:rFonts w:hint="eastAsia" w:ascii="仿宋_GB2312" w:hAnsi="仿宋_GB2312" w:eastAsia="仿宋_GB2312" w:cs="仿宋_GB2312"/>
          <w:kern w:val="0"/>
          <w:sz w:val="27"/>
          <w:szCs w:val="27"/>
        </w:rPr>
        <w:t>图1.收入决算图</w:t>
      </w:r>
    </w:p>
    <w:p>
      <w:pPr>
        <w:autoSpaceDE w:val="0"/>
        <w:autoSpaceDN w:val="0"/>
        <w:adjustRightInd w:val="0"/>
        <w:spacing w:line="600" w:lineRule="exact"/>
        <w:ind w:firstLine="643"/>
        <w:rPr>
          <w:rFonts w:ascii="黑体" w:eastAsia="黑体"/>
          <w:b/>
          <w:sz w:val="32"/>
        </w:rPr>
      </w:pPr>
      <w:r>
        <w:rPr>
          <w:rFonts w:hint="eastAsia" w:ascii="黑体" w:eastAsia="黑体"/>
          <w:b/>
          <w:sz w:val="32"/>
        </w:rPr>
        <w:t> </w:t>
      </w:r>
    </w:p>
    <w:p>
      <w:pPr>
        <w:autoSpaceDE w:val="0"/>
        <w:autoSpaceDN w:val="0"/>
        <w:adjustRightInd w:val="0"/>
        <w:spacing w:line="600" w:lineRule="exact"/>
        <w:ind w:firstLine="643"/>
        <w:rPr>
          <w:rFonts w:ascii="黑体" w:eastAsia="黑体"/>
          <w:b/>
          <w:sz w:val="32"/>
        </w:rPr>
      </w:pPr>
      <w:r>
        <w:rPr>
          <w:rFonts w:hint="eastAsia" w:ascii="黑体" w:eastAsia="黑体"/>
          <w:b/>
          <w:sz w:val="32"/>
        </w:rPr>
        <w:t>三、支出决算情况说明</w:t>
      </w:r>
    </w:p>
    <w:p>
      <w:pPr>
        <w:widowControl/>
        <w:spacing w:line="560" w:lineRule="exact"/>
        <w:ind w:firstLine="640" w:firstLineChars="200"/>
        <w:rPr>
          <w:rFonts w:eastAsia="仿宋_GB2312"/>
          <w:sz w:val="32"/>
          <w:szCs w:val="32"/>
        </w:rPr>
      </w:pPr>
      <w:r>
        <w:rPr>
          <w:rFonts w:eastAsia="仿宋_GB2312"/>
          <w:sz w:val="32"/>
          <w:szCs w:val="32"/>
        </w:rPr>
        <w:t>内蒙古自治区鄂尔多斯市中心医院（内蒙古自治区超声影像研究所） 2024年度本年支出决算合计 182</w:t>
      </w:r>
      <w:r>
        <w:rPr>
          <w:rFonts w:hint="eastAsia" w:eastAsia="仿宋_GB2312"/>
          <w:sz w:val="32"/>
          <w:szCs w:val="32"/>
        </w:rPr>
        <w:t>,</w:t>
      </w:r>
      <w:r>
        <w:rPr>
          <w:rFonts w:eastAsia="仿宋_GB2312"/>
          <w:sz w:val="32"/>
          <w:szCs w:val="32"/>
        </w:rPr>
        <w:t>768.36万元，其中：</w:t>
      </w:r>
    </w:p>
    <w:p>
      <w:pPr>
        <w:widowControl/>
        <w:spacing w:line="560" w:lineRule="exact"/>
        <w:ind w:firstLine="640" w:firstLineChars="200"/>
        <w:jc w:val="left"/>
        <w:rPr>
          <w:rFonts w:ascii="仿宋_GB2312" w:eastAsia="仿宋_GB2312"/>
          <w:sz w:val="32"/>
        </w:rPr>
      </w:pPr>
      <w:r>
        <w:rPr>
          <w:rFonts w:ascii="仿宋_GB2312" w:eastAsia="仿宋_GB2312"/>
          <w:sz w:val="32"/>
        </w:rPr>
        <w:t>本年基本支出 161</w:t>
      </w:r>
      <w:r>
        <w:rPr>
          <w:rFonts w:hint="eastAsia" w:ascii="仿宋_GB2312" w:eastAsia="仿宋_GB2312"/>
          <w:sz w:val="32"/>
        </w:rPr>
        <w:t>,</w:t>
      </w:r>
      <w:r>
        <w:rPr>
          <w:rFonts w:ascii="仿宋_GB2312" w:eastAsia="仿宋_GB2312"/>
          <w:sz w:val="32"/>
        </w:rPr>
        <w:t>228.89万元，占 88.21%；</w:t>
      </w:r>
    </w:p>
    <w:p>
      <w:pPr>
        <w:widowControl/>
        <w:spacing w:line="560" w:lineRule="exact"/>
        <w:ind w:firstLine="640" w:firstLineChars="200"/>
        <w:jc w:val="left"/>
        <w:rPr>
          <w:rFonts w:ascii="仿宋_GB2312" w:eastAsia="仿宋_GB2312"/>
          <w:sz w:val="32"/>
        </w:rPr>
      </w:pPr>
      <w:r>
        <w:rPr>
          <w:rFonts w:ascii="仿宋_GB2312" w:eastAsia="仿宋_GB2312"/>
          <w:sz w:val="32"/>
        </w:rPr>
        <w:t>本年项目支出 21</w:t>
      </w:r>
      <w:r>
        <w:rPr>
          <w:rFonts w:hint="eastAsia" w:ascii="仿宋_GB2312" w:eastAsia="仿宋_GB2312"/>
          <w:sz w:val="32"/>
        </w:rPr>
        <w:t>,</w:t>
      </w:r>
      <w:r>
        <w:rPr>
          <w:rFonts w:ascii="仿宋_GB2312" w:eastAsia="仿宋_GB2312"/>
          <w:sz w:val="32"/>
        </w:rPr>
        <w:t>539.47万元，占 11.79%；</w:t>
      </w:r>
    </w:p>
    <w:p>
      <w:pPr>
        <w:widowControl/>
        <w:spacing w:line="560" w:lineRule="exact"/>
        <w:ind w:firstLine="640" w:firstLineChars="200"/>
        <w:jc w:val="left"/>
        <w:rPr>
          <w:rFonts w:ascii="仿宋_GB2312" w:eastAsia="仿宋_GB2312"/>
          <w:sz w:val="32"/>
        </w:rPr>
      </w:pPr>
      <w:r>
        <w:rPr>
          <w:rFonts w:ascii="仿宋_GB2312" w:eastAsia="仿宋_GB2312"/>
          <w:sz w:val="32"/>
        </w:rPr>
        <w:t>本年上缴上级支出 0万元，占 0%；</w:t>
      </w:r>
    </w:p>
    <w:p>
      <w:pPr>
        <w:widowControl/>
        <w:spacing w:line="560" w:lineRule="exact"/>
        <w:ind w:firstLine="640" w:firstLineChars="200"/>
        <w:jc w:val="left"/>
        <w:rPr>
          <w:rFonts w:ascii="仿宋_GB2312" w:eastAsia="仿宋_GB2312"/>
          <w:sz w:val="32"/>
        </w:rPr>
      </w:pPr>
      <w:r>
        <w:rPr>
          <w:rFonts w:ascii="仿宋_GB2312" w:eastAsia="仿宋_GB2312"/>
          <w:sz w:val="32"/>
        </w:rPr>
        <w:t>本年经营支出 0万元，占 0%；</w:t>
      </w:r>
    </w:p>
    <w:p>
      <w:pPr>
        <w:widowControl/>
        <w:spacing w:line="560" w:lineRule="exact"/>
        <w:ind w:firstLine="640" w:firstLineChars="200"/>
        <w:jc w:val="left"/>
        <w:rPr>
          <w:rFonts w:ascii="仿宋_GB2312" w:eastAsia="仿宋_GB2312"/>
          <w:sz w:val="32"/>
        </w:rPr>
      </w:pPr>
      <w:r>
        <w:rPr>
          <w:rFonts w:ascii="仿宋_GB2312" w:eastAsia="仿宋_GB2312"/>
          <w:sz w:val="32"/>
        </w:rPr>
        <w:t>本年对附属单位补助支出 0万元，占 0%。</w:t>
      </w:r>
    </w:p>
    <w:p>
      <w:pPr>
        <w:widowControl/>
        <w:spacing w:before="240" w:after="240"/>
        <w:rPr>
          <w:rFonts w:eastAsia="Times New Roman"/>
          <w:kern w:val="0"/>
          <w:sz w:val="24"/>
        </w:rPr>
      </w:pPr>
      <w:r>
        <w:rPr>
          <w:rFonts w:ascii="仿宋_GB2312" w:hAnsi="仿宋_GB2312" w:eastAsia="仿宋_GB2312" w:cs="仿宋_GB2312"/>
          <w:color w:val="0E00FE"/>
          <w:kern w:val="0"/>
          <w:sz w:val="27"/>
          <w:szCs w:val="27"/>
        </w:rPr>
        <w:t xml:space="preserve">    </w:t>
      </w:r>
    </w:p>
    <w:p>
      <w:pPr>
        <w:widowControl/>
        <w:spacing w:before="240" w:after="240"/>
        <w:jc w:val="center"/>
        <w:rPr>
          <w:rFonts w:eastAsia="Times New Roman"/>
          <w:kern w:val="0"/>
          <w:sz w:val="24"/>
        </w:rPr>
      </w:pPr>
      <w:r>
        <w:rPr>
          <w:rFonts w:eastAsia="Times New Roman"/>
          <w:kern w:val="0"/>
          <w:sz w:val="24"/>
        </w:rPr>
        <w:drawing>
          <wp:inline distT="0" distB="0" distL="114300" distR="114300">
            <wp:extent cx="5760085" cy="3600450"/>
            <wp:effectExtent l="0" t="0" r="1206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stretch>
                      <a:fillRect/>
                    </a:stretch>
                  </pic:blipFill>
                  <pic:spPr>
                    <a:xfrm>
                      <a:off x="0" y="0"/>
                      <a:ext cx="5760085" cy="3600450"/>
                    </a:xfrm>
                    <a:prstGeom prst="rect">
                      <a:avLst/>
                    </a:prstGeom>
                    <a:noFill/>
                    <a:ln>
                      <a:noFill/>
                    </a:ln>
                  </pic:spPr>
                </pic:pic>
              </a:graphicData>
            </a:graphic>
          </wp:inline>
        </w:drawing>
      </w:r>
      <w:r>
        <w:rPr>
          <w:rFonts w:eastAsia="Times New Roman"/>
          <w:kern w:val="0"/>
          <w:sz w:val="24"/>
        </w:rPr>
        <w:t xml:space="preserve">  </w:t>
      </w:r>
    </w:p>
    <w:p>
      <w:pPr>
        <w:widowControl/>
        <w:spacing w:before="240" w:after="240"/>
        <w:jc w:val="center"/>
        <w:rPr>
          <w:rFonts w:eastAsia="Times New Roman"/>
          <w:kern w:val="0"/>
          <w:sz w:val="24"/>
        </w:rPr>
      </w:pPr>
      <w:r>
        <w:rPr>
          <w:rFonts w:ascii="仿宋_GB2312" w:hAnsi="仿宋_GB2312" w:eastAsia="仿宋_GB2312" w:cs="仿宋_GB2312"/>
          <w:kern w:val="0"/>
          <w:sz w:val="27"/>
          <w:szCs w:val="27"/>
        </w:rPr>
        <w:t>图2.支出决算图</w:t>
      </w:r>
    </w:p>
    <w:p>
      <w:pPr>
        <w:autoSpaceDE w:val="0"/>
        <w:autoSpaceDN w:val="0"/>
        <w:adjustRightInd w:val="0"/>
        <w:spacing w:line="600" w:lineRule="exact"/>
        <w:ind w:firstLine="643"/>
        <w:rPr>
          <w:rFonts w:ascii="黑体" w:eastAsia="黑体"/>
          <w:b/>
          <w:sz w:val="32"/>
        </w:rPr>
      </w:pPr>
    </w:p>
    <w:p>
      <w:pPr>
        <w:autoSpaceDE w:val="0"/>
        <w:autoSpaceDN w:val="0"/>
        <w:adjustRightInd w:val="0"/>
        <w:spacing w:line="600" w:lineRule="exact"/>
        <w:ind w:firstLine="643"/>
        <w:rPr>
          <w:rFonts w:ascii="黑体" w:eastAsia="黑体"/>
          <w:b/>
          <w:sz w:val="32"/>
        </w:rPr>
      </w:pPr>
      <w:r>
        <w:rPr>
          <w:rFonts w:hint="eastAsia" w:ascii="黑体" w:eastAsia="黑体"/>
          <w:b/>
          <w:sz w:val="32"/>
        </w:rPr>
        <w:t>四、财政拨款收入支出决算总体情况说明</w:t>
      </w:r>
    </w:p>
    <w:p>
      <w:pPr>
        <w:widowControl/>
        <w:spacing w:line="560" w:lineRule="exact"/>
        <w:ind w:firstLine="640" w:firstLineChars="200"/>
        <w:rPr>
          <w:rFonts w:eastAsia="仿宋_GB2312"/>
          <w:sz w:val="32"/>
          <w:szCs w:val="32"/>
        </w:rPr>
      </w:pPr>
      <w:r>
        <w:rPr>
          <w:rFonts w:eastAsia="仿宋_GB2312"/>
          <w:sz w:val="32"/>
          <w:szCs w:val="32"/>
        </w:rPr>
        <w:t>内蒙古自治区鄂尔多斯市中心医院（内蒙古自治区超声影像研究所） 2024年度财政拨款收入</w:t>
      </w:r>
      <w:r>
        <w:rPr>
          <w:rFonts w:hint="eastAsia" w:eastAsia="仿宋_GB2312"/>
          <w:sz w:val="32"/>
          <w:szCs w:val="32"/>
        </w:rPr>
        <w:t>、支出</w:t>
      </w:r>
      <w:r>
        <w:rPr>
          <w:rFonts w:hAnsi="Times New Roman"/>
          <w:kern w:val="2"/>
          <w:sz w:val="32"/>
        </w:rPr>
        <w:t>决算总计</w:t>
      </w:r>
      <w:r>
        <w:rPr>
          <w:rFonts w:hint="eastAsia" w:eastAsia="仿宋_GB2312"/>
          <w:sz w:val="32"/>
          <w:szCs w:val="32"/>
          <w:lang w:eastAsia="zh-CN"/>
        </w:rPr>
        <w:t>均</w:t>
      </w:r>
      <w:r>
        <w:rPr>
          <w:rFonts w:eastAsia="仿宋_GB2312"/>
          <w:sz w:val="32"/>
          <w:szCs w:val="32"/>
        </w:rPr>
        <w:t>为 43</w:t>
      </w:r>
      <w:r>
        <w:rPr>
          <w:rFonts w:hint="eastAsia" w:eastAsia="仿宋_GB2312"/>
          <w:sz w:val="32"/>
          <w:szCs w:val="32"/>
        </w:rPr>
        <w:t>,</w:t>
      </w:r>
      <w:r>
        <w:rPr>
          <w:rFonts w:eastAsia="仿宋_GB2312"/>
          <w:sz w:val="32"/>
          <w:szCs w:val="32"/>
        </w:rPr>
        <w:t>868.68万元</w:t>
      </w:r>
      <w:r>
        <w:rPr>
          <w:rFonts w:hint="eastAsia" w:eastAsia="仿宋_GB2312"/>
          <w:sz w:val="32"/>
          <w:szCs w:val="32"/>
          <w:lang w:eastAsia="zh-CN"/>
        </w:rPr>
        <w:t>，</w:t>
      </w:r>
      <w:r>
        <w:rPr>
          <w:rFonts w:eastAsia="仿宋_GB2312"/>
          <w:sz w:val="32"/>
          <w:szCs w:val="32"/>
        </w:rPr>
        <w:t>与年初预算相比，</w:t>
      </w:r>
      <w:r>
        <w:rPr>
          <w:rFonts w:hAnsi="Times New Roman"/>
          <w:kern w:val="2"/>
          <w:sz w:val="32"/>
        </w:rPr>
        <w:t>收、支总计各增加</w:t>
      </w:r>
      <w:bookmarkStart w:id="1" w:name="_GoBack"/>
      <w:bookmarkEnd w:id="1"/>
      <w:r>
        <w:rPr>
          <w:rFonts w:eastAsia="仿宋_GB2312"/>
          <w:sz w:val="32"/>
          <w:szCs w:val="32"/>
        </w:rPr>
        <w:t> 20</w:t>
      </w:r>
      <w:r>
        <w:rPr>
          <w:rFonts w:hint="eastAsia" w:eastAsia="仿宋_GB2312"/>
          <w:sz w:val="32"/>
          <w:szCs w:val="32"/>
        </w:rPr>
        <w:t>,</w:t>
      </w:r>
      <w:r>
        <w:rPr>
          <w:rFonts w:eastAsia="仿宋_GB2312"/>
          <w:sz w:val="32"/>
          <w:szCs w:val="32"/>
        </w:rPr>
        <w:t>766.02万元，增长 89.89%</w:t>
      </w:r>
      <w:r>
        <w:rPr>
          <w:rFonts w:hint="eastAsia" w:eastAsia="仿宋_GB2312"/>
          <w:sz w:val="32"/>
          <w:szCs w:val="32"/>
        </w:rPr>
        <w:t>，</w:t>
      </w:r>
      <w:r>
        <w:rPr>
          <w:rFonts w:eastAsia="仿宋_GB2312"/>
          <w:sz w:val="32"/>
          <w:szCs w:val="32"/>
        </w:rPr>
        <w:t>变动原因：年初预算中财政拨款收入、支出只包括基本支出中人员经费和少数项目财政拨款收支，其他项目</w:t>
      </w:r>
      <w:r>
        <w:rPr>
          <w:rFonts w:hint="eastAsia" w:eastAsia="仿宋_GB2312"/>
          <w:sz w:val="32"/>
          <w:szCs w:val="32"/>
        </w:rPr>
        <w:t>为年中追加</w:t>
      </w:r>
      <w:r>
        <w:rPr>
          <w:rFonts w:eastAsia="仿宋_GB2312"/>
          <w:sz w:val="32"/>
          <w:szCs w:val="32"/>
        </w:rPr>
        <w:t>预算；与上年决算相比，</w:t>
      </w:r>
      <w:r>
        <w:rPr>
          <w:rFonts w:hAnsi="Times New Roman"/>
          <w:kern w:val="2"/>
          <w:sz w:val="32"/>
        </w:rPr>
        <w:t>收、支总计各</w:t>
      </w:r>
      <w:r>
        <w:rPr>
          <w:rFonts w:eastAsia="仿宋_GB2312"/>
          <w:sz w:val="32"/>
          <w:szCs w:val="32"/>
        </w:rPr>
        <w:t>增加 2</w:t>
      </w:r>
      <w:r>
        <w:rPr>
          <w:rFonts w:hint="eastAsia" w:eastAsia="仿宋_GB2312"/>
          <w:sz w:val="32"/>
          <w:szCs w:val="32"/>
        </w:rPr>
        <w:t>,</w:t>
      </w:r>
      <w:r>
        <w:rPr>
          <w:rFonts w:eastAsia="仿宋_GB2312"/>
          <w:sz w:val="32"/>
          <w:szCs w:val="32"/>
        </w:rPr>
        <w:t>934.82万元，增长 7.17%</w:t>
      </w:r>
      <w:r>
        <w:rPr>
          <w:rFonts w:hint="eastAsia" w:eastAsia="仿宋_GB2312"/>
          <w:sz w:val="32"/>
          <w:szCs w:val="32"/>
        </w:rPr>
        <w:t>。</w:t>
      </w:r>
      <w:r>
        <w:rPr>
          <w:rFonts w:eastAsia="仿宋_GB2312"/>
          <w:sz w:val="32"/>
          <w:szCs w:val="32"/>
        </w:rPr>
        <w:t>变动原因：</w:t>
      </w:r>
      <w:r>
        <w:rPr>
          <w:rFonts w:hint="eastAsia" w:eastAsia="仿宋_GB2312"/>
          <w:sz w:val="32"/>
          <w:szCs w:val="32"/>
        </w:rPr>
        <w:t>本年度科技项目</w:t>
      </w:r>
      <w:r>
        <w:rPr>
          <w:rFonts w:hint="eastAsia" w:eastAsia="仿宋_GB2312"/>
          <w:sz w:val="32"/>
          <w:szCs w:val="32"/>
          <w:lang w:eastAsia="zh-CN"/>
        </w:rPr>
        <w:t>经费、</w:t>
      </w:r>
      <w:r>
        <w:rPr>
          <w:rFonts w:hint="eastAsia" w:eastAsia="仿宋_GB2312"/>
          <w:sz w:val="32"/>
          <w:szCs w:val="32"/>
        </w:rPr>
        <w:t>重点学科建设经费、</w:t>
      </w:r>
      <w:r>
        <w:rPr>
          <w:rFonts w:hint="eastAsia" w:ascii="仿宋_GB2312" w:eastAsia="仿宋_GB2312"/>
          <w:sz w:val="32"/>
        </w:rPr>
        <w:t>无障碍改造项目、</w:t>
      </w:r>
      <w:r>
        <w:rPr>
          <w:rFonts w:hint="eastAsia" w:eastAsia="仿宋_GB2312"/>
          <w:sz w:val="32"/>
          <w:szCs w:val="32"/>
        </w:rPr>
        <w:t>市级医务人员临时性补助</w:t>
      </w:r>
      <w:r>
        <w:rPr>
          <w:rFonts w:hint="eastAsia" w:eastAsia="仿宋_GB2312"/>
          <w:sz w:val="32"/>
          <w:szCs w:val="32"/>
          <w:lang w:eastAsia="zh-CN"/>
        </w:rPr>
        <w:t>等经费收支</w:t>
      </w:r>
      <w:r>
        <w:rPr>
          <w:rFonts w:hint="eastAsia" w:eastAsia="仿宋_GB2312"/>
          <w:sz w:val="32"/>
          <w:szCs w:val="32"/>
        </w:rPr>
        <w:t>较上年增加。</w:t>
      </w:r>
    </w:p>
    <w:p>
      <w:pPr>
        <w:widowControl/>
        <w:spacing w:before="240" w:after="240"/>
        <w:ind w:firstLine="643" w:firstLineChars="200"/>
        <w:jc w:val="left"/>
        <w:rPr>
          <w:rFonts w:ascii="黑体" w:eastAsia="黑体"/>
          <w:b/>
          <w:sz w:val="32"/>
        </w:rPr>
      </w:pPr>
      <w:r>
        <w:rPr>
          <w:rFonts w:hint="eastAsia" w:ascii="黑体" w:eastAsia="黑体"/>
          <w:b/>
          <w:sz w:val="32"/>
        </w:rPr>
        <w:t>五、一般公共预算财政拨款支出决算情况说明</w:t>
      </w:r>
    </w:p>
    <w:p>
      <w:pPr>
        <w:widowControl/>
        <w:spacing w:line="560" w:lineRule="exact"/>
        <w:ind w:firstLine="640" w:firstLineChars="200"/>
        <w:rPr>
          <w:rFonts w:eastAsia="仿宋_GB2312"/>
          <w:sz w:val="32"/>
          <w:szCs w:val="32"/>
        </w:rPr>
      </w:pPr>
      <w:r>
        <w:rPr>
          <w:rFonts w:hint="eastAsia" w:eastAsia="仿宋_GB2312"/>
          <w:sz w:val="32"/>
          <w:szCs w:val="32"/>
        </w:rPr>
        <w:t>内蒙古自治区鄂尔多斯市中心医院（内蒙古自治区超声影像研究所） 2024年度一般公共预算财政拨款支出决算 42,218.23万元。与年初预算 23,102.66万元相比，完成年初预算的 182.74%。其中：</w:t>
      </w:r>
    </w:p>
    <w:p>
      <w:pPr>
        <w:widowControl/>
        <w:spacing w:line="560" w:lineRule="exact"/>
        <w:jc w:val="left"/>
        <w:rPr>
          <w:rFonts w:eastAsia="Times New Roman"/>
          <w:kern w:val="0"/>
          <w:sz w:val="24"/>
        </w:rPr>
      </w:pPr>
      <w:r>
        <w:rPr>
          <w:rFonts w:ascii="kai_ti_gb2312" w:hAnsi="kai_ti_gb2312" w:eastAsia="kai_ti_gb2312" w:cs="kai_ti_gb2312"/>
          <w:b/>
          <w:bCs/>
          <w:color w:val="000000"/>
          <w:kern w:val="0"/>
          <w:sz w:val="27"/>
          <w:szCs w:val="27"/>
        </w:rPr>
        <w:t>   </w:t>
      </w:r>
      <w:r>
        <w:rPr>
          <w:rFonts w:hint="eastAsia" w:ascii="楷体" w:eastAsia="楷体"/>
          <w:b/>
          <w:sz w:val="32"/>
        </w:rPr>
        <w:t xml:space="preserve"> </w:t>
      </w:r>
      <w:r>
        <w:rPr>
          <w:rFonts w:ascii="楷体" w:eastAsia="楷体"/>
          <w:b/>
          <w:sz w:val="32"/>
        </w:rPr>
        <w:t>（一）一般公共服务（类）</w:t>
      </w:r>
    </w:p>
    <w:p>
      <w:pPr>
        <w:widowControl/>
        <w:spacing w:line="560" w:lineRule="exact"/>
        <w:ind w:left="540" w:hanging="540" w:hangingChars="200"/>
        <w:rPr>
          <w:rFonts w:eastAsia="仿宋_GB2312"/>
          <w:sz w:val="32"/>
          <w:szCs w:val="32"/>
        </w:rPr>
      </w:pPr>
      <w:r>
        <w:rPr>
          <w:rFonts w:ascii="仿宋_GB2312" w:hAnsi="仿宋_GB2312" w:eastAsia="仿宋_GB2312" w:cs="仿宋_GB2312"/>
          <w:color w:val="000000"/>
          <w:kern w:val="0"/>
          <w:sz w:val="27"/>
          <w:szCs w:val="27"/>
        </w:rPr>
        <w:t xml:space="preserve">  </w:t>
      </w:r>
      <w:r>
        <w:rPr>
          <w:rFonts w:hint="eastAsia" w:ascii="仿宋_GB2312" w:hAnsi="仿宋_GB2312" w:eastAsia="仿宋_GB2312" w:cs="仿宋_GB2312"/>
          <w:color w:val="000000"/>
          <w:kern w:val="0"/>
          <w:sz w:val="27"/>
          <w:szCs w:val="27"/>
        </w:rPr>
        <w:t xml:space="preserve">   </w:t>
      </w:r>
      <w:r>
        <w:rPr>
          <w:rFonts w:eastAsia="仿宋_GB2312"/>
          <w:sz w:val="32"/>
          <w:szCs w:val="32"/>
        </w:rPr>
        <w:t>一般公共服务（类）决算数为 5.80万元，与年初预算相比减少 4.20万元。其中：</w:t>
      </w:r>
    </w:p>
    <w:p>
      <w:pPr>
        <w:spacing w:line="560" w:lineRule="exact"/>
        <w:ind w:firstLine="640" w:firstLineChars="200"/>
        <w:rPr>
          <w:rFonts w:eastAsia="仿宋_GB2312"/>
          <w:sz w:val="32"/>
          <w:szCs w:val="32"/>
        </w:rPr>
      </w:pPr>
      <w:r>
        <w:rPr>
          <w:rFonts w:hint="eastAsia" w:eastAsia="仿宋_GB2312"/>
          <w:sz w:val="32"/>
          <w:szCs w:val="32"/>
        </w:rPr>
        <w:t>1.</w:t>
      </w:r>
      <w:r>
        <w:rPr>
          <w:rFonts w:eastAsia="仿宋_GB2312"/>
          <w:sz w:val="32"/>
          <w:szCs w:val="32"/>
        </w:rPr>
        <w:t>纪检监察事务（款）派驻派出机构（项）。年初预算10</w:t>
      </w:r>
      <w:r>
        <w:rPr>
          <w:rFonts w:hint="eastAsia" w:eastAsia="仿宋_GB2312"/>
          <w:sz w:val="32"/>
          <w:szCs w:val="32"/>
        </w:rPr>
        <w:t>.00</w:t>
      </w:r>
      <w:r>
        <w:rPr>
          <w:rFonts w:eastAsia="仿宋_GB2312"/>
          <w:sz w:val="32"/>
          <w:szCs w:val="32"/>
        </w:rPr>
        <w:t>万元，支出决算</w:t>
      </w:r>
      <w:r>
        <w:rPr>
          <w:rFonts w:hint="eastAsia" w:eastAsia="仿宋_GB2312"/>
          <w:sz w:val="32"/>
          <w:szCs w:val="32"/>
        </w:rPr>
        <w:t>5.80</w:t>
      </w:r>
      <w:r>
        <w:rPr>
          <w:rFonts w:eastAsia="仿宋_GB2312"/>
          <w:sz w:val="32"/>
          <w:szCs w:val="32"/>
        </w:rPr>
        <w:t>万元，完成年初预算的</w:t>
      </w:r>
      <w:r>
        <w:rPr>
          <w:rFonts w:hint="eastAsia" w:eastAsia="仿宋_GB2312"/>
          <w:sz w:val="32"/>
          <w:szCs w:val="32"/>
        </w:rPr>
        <w:t>58.00</w:t>
      </w:r>
      <w:r>
        <w:rPr>
          <w:rFonts w:eastAsia="仿宋_GB2312"/>
          <w:sz w:val="32"/>
          <w:szCs w:val="32"/>
        </w:rPr>
        <w:t>%。决算数与年初预算数的差异原因：派驻派出机构</w:t>
      </w:r>
      <w:r>
        <w:rPr>
          <w:rFonts w:hint="eastAsia" w:eastAsia="仿宋_GB2312"/>
          <w:sz w:val="32"/>
          <w:szCs w:val="32"/>
        </w:rPr>
        <w:t>经费支出未按进度执行。</w:t>
      </w:r>
    </w:p>
    <w:p>
      <w:pPr>
        <w:widowControl/>
        <w:spacing w:before="240" w:after="240"/>
        <w:jc w:val="left"/>
        <w:rPr>
          <w:rFonts w:ascii="楷体" w:eastAsia="楷体"/>
          <w:b/>
          <w:sz w:val="32"/>
        </w:rPr>
      </w:pPr>
      <w:r>
        <w:rPr>
          <w:rFonts w:ascii="kai_ti_gb2312" w:hAnsi="kai_ti_gb2312" w:eastAsia="kai_ti_gb2312" w:cs="kai_ti_gb2312"/>
          <w:b/>
          <w:bCs/>
          <w:color w:val="000000"/>
          <w:kern w:val="0"/>
          <w:sz w:val="27"/>
          <w:szCs w:val="27"/>
        </w:rPr>
        <w:t xml:space="preserve">    </w:t>
      </w:r>
      <w:r>
        <w:rPr>
          <w:rFonts w:eastAsia="kai_ti_gb2312"/>
          <w:b/>
          <w:bCs/>
          <w:kern w:val="0"/>
          <w:sz w:val="32"/>
          <w:szCs w:val="32"/>
        </w:rPr>
        <w:t> </w:t>
      </w:r>
      <w:r>
        <w:rPr>
          <w:rFonts w:ascii="楷体" w:eastAsia="楷体"/>
          <w:b/>
          <w:sz w:val="32"/>
        </w:rPr>
        <w:t>（二）科学技术支出（类）</w:t>
      </w:r>
    </w:p>
    <w:p>
      <w:pPr>
        <w:widowControl/>
        <w:spacing w:line="560" w:lineRule="exact"/>
        <w:ind w:firstLine="640" w:firstLineChars="200"/>
        <w:jc w:val="left"/>
        <w:rPr>
          <w:rFonts w:eastAsia="仿宋_GB2312"/>
          <w:sz w:val="32"/>
          <w:szCs w:val="32"/>
        </w:rPr>
      </w:pPr>
      <w:r>
        <w:rPr>
          <w:rFonts w:eastAsia="仿宋_GB2312"/>
          <w:sz w:val="32"/>
          <w:szCs w:val="32"/>
        </w:rPr>
        <w:t>科学技术类决算数为262.58万元，与年初预算相比</w:t>
      </w:r>
      <w:r>
        <w:rPr>
          <w:rFonts w:hint="eastAsia" w:eastAsia="仿宋_GB2312"/>
          <w:sz w:val="32"/>
          <w:szCs w:val="32"/>
        </w:rPr>
        <w:t>增加262.58</w:t>
      </w:r>
      <w:r>
        <w:rPr>
          <w:rFonts w:eastAsia="仿宋_GB2312"/>
          <w:sz w:val="32"/>
          <w:szCs w:val="32"/>
        </w:rPr>
        <w:t>万元。其中：</w:t>
      </w:r>
    </w:p>
    <w:p>
      <w:pPr>
        <w:autoSpaceDE w:val="0"/>
        <w:autoSpaceDN w:val="0"/>
        <w:adjustRightInd w:val="0"/>
        <w:spacing w:line="560" w:lineRule="exact"/>
        <w:ind w:firstLine="641"/>
        <w:rPr>
          <w:rFonts w:eastAsia="仿宋_GB2312"/>
          <w:sz w:val="32"/>
        </w:rPr>
      </w:pPr>
      <w:r>
        <w:rPr>
          <w:rFonts w:hint="eastAsia" w:eastAsia="仿宋_GB2312"/>
          <w:sz w:val="32"/>
        </w:rPr>
        <w:t>1.</w:t>
      </w:r>
      <w:r>
        <w:rPr>
          <w:rFonts w:eastAsia="仿宋_GB2312"/>
          <w:sz w:val="32"/>
        </w:rPr>
        <w:t>基础研究（款）自然科学基金（项）。年初预算</w:t>
      </w:r>
      <w:r>
        <w:rPr>
          <w:rFonts w:hint="eastAsia" w:eastAsia="仿宋_GB2312"/>
          <w:sz w:val="32"/>
        </w:rPr>
        <w:t>0</w:t>
      </w:r>
      <w:r>
        <w:rPr>
          <w:rFonts w:eastAsia="仿宋_GB2312"/>
          <w:sz w:val="32"/>
        </w:rPr>
        <w:t>万元，支出决算27.62万元，完成年初预算的</w:t>
      </w:r>
      <w:r>
        <w:rPr>
          <w:rFonts w:hint="eastAsia" w:eastAsia="仿宋_GB2312"/>
          <w:sz w:val="32"/>
        </w:rPr>
        <w:t>100%</w:t>
      </w:r>
      <w:r>
        <w:rPr>
          <w:rFonts w:eastAsia="仿宋_GB2312"/>
          <w:sz w:val="32"/>
        </w:rPr>
        <w:t>。决算数与年初预算数的差异原因：</w:t>
      </w:r>
      <w:r>
        <w:rPr>
          <w:rFonts w:hint="eastAsia" w:eastAsia="仿宋_GB2312"/>
          <w:sz w:val="32"/>
        </w:rPr>
        <w:t>本年度</w:t>
      </w:r>
      <w:r>
        <w:rPr>
          <w:rFonts w:eastAsia="仿宋_GB2312"/>
          <w:sz w:val="32"/>
        </w:rPr>
        <w:t>基于深度学习的影像-病理组学鉴别肺前驱病变与微浸润腺癌的方法研究</w:t>
      </w:r>
      <w:r>
        <w:rPr>
          <w:rFonts w:hint="eastAsia" w:eastAsia="仿宋_GB2312"/>
          <w:sz w:val="32"/>
        </w:rPr>
        <w:t>项目、蜱源Kunitz型丝氨酸蛋白酶抑制分子Hq001对肿瘤细胞的抑制作用研究项目、内蒙古地区胃粘膜肠上皮化生恶变风险突变的筛选研究项目等为年中追加预算，从而</w:t>
      </w:r>
      <w:r>
        <w:rPr>
          <w:rFonts w:eastAsia="仿宋_GB2312"/>
          <w:sz w:val="32"/>
        </w:rPr>
        <w:t>导致决算数与年初预算数形成差异。</w:t>
      </w:r>
    </w:p>
    <w:p>
      <w:pPr>
        <w:autoSpaceDE w:val="0"/>
        <w:autoSpaceDN w:val="0"/>
        <w:adjustRightInd w:val="0"/>
        <w:spacing w:line="560" w:lineRule="exact"/>
        <w:ind w:firstLine="640"/>
        <w:rPr>
          <w:rFonts w:eastAsia="仿宋_GB2312"/>
          <w:sz w:val="32"/>
        </w:rPr>
      </w:pPr>
      <w:r>
        <w:rPr>
          <w:rFonts w:hint="eastAsia" w:eastAsia="仿宋_GB2312"/>
          <w:sz w:val="32"/>
        </w:rPr>
        <w:t>2.</w:t>
      </w:r>
      <w:r>
        <w:rPr>
          <w:rFonts w:eastAsia="仿宋_GB2312"/>
          <w:sz w:val="32"/>
        </w:rPr>
        <w:t>应用研究（款）其他应用研究支出（项）。年初预算</w:t>
      </w:r>
      <w:r>
        <w:rPr>
          <w:rFonts w:hint="eastAsia" w:eastAsia="仿宋_GB2312"/>
          <w:sz w:val="32"/>
        </w:rPr>
        <w:t>0</w:t>
      </w:r>
      <w:r>
        <w:rPr>
          <w:rFonts w:eastAsia="仿宋_GB2312"/>
          <w:sz w:val="32"/>
        </w:rPr>
        <w:t>万元，支出决算39.0</w:t>
      </w:r>
      <w:r>
        <w:rPr>
          <w:rFonts w:hint="eastAsia" w:eastAsia="仿宋_GB2312"/>
          <w:sz w:val="32"/>
        </w:rPr>
        <w:t>9</w:t>
      </w:r>
      <w:r>
        <w:rPr>
          <w:rFonts w:eastAsia="仿宋_GB2312"/>
          <w:sz w:val="32"/>
        </w:rPr>
        <w:t>万元，完成年初预算的</w:t>
      </w:r>
      <w:r>
        <w:rPr>
          <w:rFonts w:hint="eastAsia" w:eastAsia="仿宋_GB2312"/>
          <w:sz w:val="32"/>
        </w:rPr>
        <w:t>100</w:t>
      </w:r>
      <w:r>
        <w:rPr>
          <w:rFonts w:eastAsia="仿宋_GB2312"/>
          <w:sz w:val="32"/>
        </w:rPr>
        <w:t>%。决算数与年初预算数的差异原因：</w:t>
      </w:r>
      <w:r>
        <w:rPr>
          <w:rFonts w:hint="eastAsia" w:eastAsia="仿宋_GB2312"/>
          <w:sz w:val="32"/>
        </w:rPr>
        <w:t>超声监视下小儿肠套叠复位装置的应用与转化项目代谢综合征早期诊断及中药防治的研究项目、内蒙古西部地区孕妇B族链球菌的筛查及分子流行特征分析项目等为年中追加预算</w:t>
      </w:r>
      <w:r>
        <w:rPr>
          <w:rFonts w:eastAsia="仿宋_GB2312"/>
          <w:sz w:val="32"/>
        </w:rPr>
        <w:t>，</w:t>
      </w:r>
      <w:r>
        <w:rPr>
          <w:rFonts w:hint="eastAsia" w:eastAsia="仿宋_GB2312"/>
          <w:sz w:val="32"/>
        </w:rPr>
        <w:t>从而</w:t>
      </w:r>
      <w:r>
        <w:rPr>
          <w:rFonts w:eastAsia="仿宋_GB2312"/>
          <w:sz w:val="32"/>
        </w:rPr>
        <w:t>导致决算数与年初预算数形成差异。</w:t>
      </w:r>
    </w:p>
    <w:p>
      <w:pPr>
        <w:autoSpaceDE w:val="0"/>
        <w:autoSpaceDN w:val="0"/>
        <w:adjustRightInd w:val="0"/>
        <w:spacing w:line="560" w:lineRule="exact"/>
        <w:ind w:firstLine="640"/>
        <w:rPr>
          <w:rFonts w:eastAsia="仿宋_GB2312"/>
          <w:sz w:val="32"/>
        </w:rPr>
      </w:pPr>
      <w:r>
        <w:rPr>
          <w:rFonts w:hint="eastAsia" w:eastAsia="仿宋_GB2312"/>
          <w:sz w:val="32"/>
        </w:rPr>
        <w:t>3.</w:t>
      </w:r>
      <w:r>
        <w:rPr>
          <w:rFonts w:eastAsia="仿宋_GB2312"/>
          <w:sz w:val="32"/>
        </w:rPr>
        <w:t>技术研究与开发（款）其他技术研究与开发支出（项）。年初预算</w:t>
      </w:r>
      <w:r>
        <w:rPr>
          <w:rFonts w:hint="eastAsia" w:eastAsia="仿宋_GB2312"/>
          <w:sz w:val="32"/>
        </w:rPr>
        <w:t>0</w:t>
      </w:r>
      <w:r>
        <w:rPr>
          <w:rFonts w:eastAsia="仿宋_GB2312"/>
          <w:sz w:val="32"/>
        </w:rPr>
        <w:t>万元，支出决算118.54万元，完成年初预算的</w:t>
      </w:r>
      <w:r>
        <w:rPr>
          <w:rFonts w:hint="eastAsia" w:eastAsia="仿宋_GB2312"/>
          <w:sz w:val="32"/>
        </w:rPr>
        <w:t>100</w:t>
      </w:r>
      <w:r>
        <w:rPr>
          <w:rFonts w:eastAsia="仿宋_GB2312"/>
          <w:sz w:val="32"/>
        </w:rPr>
        <w:t>%。决算数与年初预算数的差异原因：基于微创修复膝关节前向旋转不稳定损伤的关键技术精准策略及应用</w:t>
      </w:r>
      <w:r>
        <w:rPr>
          <w:rFonts w:hint="eastAsia" w:eastAsia="仿宋_GB2312"/>
          <w:sz w:val="32"/>
        </w:rPr>
        <w:t>项目、新生儿出生缺陷预警模型的构建和致病变异数据库的构建项目、超声CT核磁共振联合对颈动脉斑块性质判定及危险程度评估项目等为年中追加预算</w:t>
      </w:r>
      <w:r>
        <w:rPr>
          <w:rFonts w:eastAsia="仿宋_GB2312"/>
          <w:sz w:val="32"/>
        </w:rPr>
        <w:t>，</w:t>
      </w:r>
      <w:r>
        <w:rPr>
          <w:rFonts w:hint="eastAsia" w:eastAsia="仿宋_GB2312"/>
          <w:sz w:val="32"/>
        </w:rPr>
        <w:t>从而</w:t>
      </w:r>
      <w:r>
        <w:rPr>
          <w:rFonts w:eastAsia="仿宋_GB2312"/>
          <w:sz w:val="32"/>
        </w:rPr>
        <w:t>导致决算数与年初预算数形成差异。</w:t>
      </w:r>
    </w:p>
    <w:p>
      <w:pPr>
        <w:autoSpaceDE w:val="0"/>
        <w:autoSpaceDN w:val="0"/>
        <w:adjustRightInd w:val="0"/>
        <w:spacing w:line="560" w:lineRule="exact"/>
        <w:ind w:firstLine="640"/>
        <w:rPr>
          <w:rFonts w:eastAsia="仿宋_GB2312"/>
          <w:sz w:val="32"/>
        </w:rPr>
      </w:pPr>
      <w:r>
        <w:rPr>
          <w:rFonts w:hint="eastAsia" w:eastAsia="仿宋_GB2312"/>
          <w:sz w:val="32"/>
        </w:rPr>
        <w:t>4.</w:t>
      </w:r>
      <w:r>
        <w:rPr>
          <w:rFonts w:eastAsia="仿宋_GB2312"/>
          <w:sz w:val="32"/>
        </w:rPr>
        <w:t>科技条件与服务（款）科技条件专项（项）。年初预算0万元，支出决算1.99万元，完成年初预算的</w:t>
      </w:r>
      <w:r>
        <w:rPr>
          <w:rFonts w:hint="eastAsia" w:eastAsia="仿宋_GB2312"/>
          <w:sz w:val="32"/>
        </w:rPr>
        <w:t>100</w:t>
      </w:r>
      <w:r>
        <w:rPr>
          <w:rFonts w:eastAsia="仿宋_GB2312"/>
          <w:sz w:val="32"/>
        </w:rPr>
        <w:t>%。决算数与年初预算数的差异原因：内蒙古药用植物鄂尔多斯蒿(哈拉——哈巴嘎)用于治疗炎性疾病的药学研究</w:t>
      </w:r>
      <w:r>
        <w:rPr>
          <w:rFonts w:hint="eastAsia" w:eastAsia="仿宋_GB2312"/>
          <w:sz w:val="32"/>
        </w:rPr>
        <w:t>项目为年中追加预算</w:t>
      </w:r>
      <w:r>
        <w:rPr>
          <w:rFonts w:eastAsia="仿宋_GB2312"/>
          <w:sz w:val="32"/>
        </w:rPr>
        <w:t>，</w:t>
      </w:r>
      <w:r>
        <w:rPr>
          <w:rFonts w:hint="eastAsia" w:eastAsia="仿宋_GB2312"/>
          <w:sz w:val="32"/>
        </w:rPr>
        <w:t>从而</w:t>
      </w:r>
      <w:r>
        <w:rPr>
          <w:rFonts w:eastAsia="仿宋_GB2312"/>
          <w:sz w:val="32"/>
        </w:rPr>
        <w:t>导致决算数与年初预算数形成差异。</w:t>
      </w:r>
    </w:p>
    <w:p>
      <w:pPr>
        <w:autoSpaceDE w:val="0"/>
        <w:autoSpaceDN w:val="0"/>
        <w:adjustRightInd w:val="0"/>
        <w:spacing w:line="560" w:lineRule="exact"/>
        <w:ind w:firstLine="640"/>
        <w:rPr>
          <w:rFonts w:eastAsia="仿宋_GB2312"/>
          <w:sz w:val="32"/>
        </w:rPr>
      </w:pPr>
      <w:r>
        <w:rPr>
          <w:rFonts w:hint="eastAsia" w:eastAsia="仿宋_GB2312"/>
          <w:sz w:val="32"/>
        </w:rPr>
        <w:t>5.</w:t>
      </w:r>
      <w:r>
        <w:rPr>
          <w:rFonts w:eastAsia="仿宋_GB2312"/>
          <w:sz w:val="32"/>
        </w:rPr>
        <w:t>科技交流与合作（款）其他科技交流与合作支出（项）。年初预算</w:t>
      </w:r>
      <w:r>
        <w:rPr>
          <w:rFonts w:hint="eastAsia" w:eastAsia="仿宋_GB2312"/>
          <w:sz w:val="32"/>
        </w:rPr>
        <w:t>0</w:t>
      </w:r>
      <w:r>
        <w:rPr>
          <w:rFonts w:eastAsia="仿宋_GB2312"/>
          <w:sz w:val="32"/>
        </w:rPr>
        <w:t>万元，支出决算34.63万元，完成年初预算的100%。决算数与年初预算数的差异原因：复杂老年髋部骨质疏松性骨折诊疗创新人才团队</w:t>
      </w:r>
      <w:r>
        <w:rPr>
          <w:rFonts w:hint="eastAsia" w:eastAsia="仿宋_GB2312"/>
          <w:sz w:val="32"/>
        </w:rPr>
        <w:t>项目及腺苷酸活化蛋白激酶调控极性蛋白对胃癌细胞侵袭转移的作用及机制研究项目为年中追加预算，从而</w:t>
      </w:r>
      <w:r>
        <w:rPr>
          <w:rFonts w:eastAsia="仿宋_GB2312"/>
          <w:sz w:val="32"/>
        </w:rPr>
        <w:t>导致决算数与年初预算数形成差异。</w:t>
      </w:r>
    </w:p>
    <w:p>
      <w:pPr>
        <w:autoSpaceDE w:val="0"/>
        <w:autoSpaceDN w:val="0"/>
        <w:adjustRightInd w:val="0"/>
        <w:spacing w:line="560" w:lineRule="exact"/>
        <w:ind w:firstLine="640"/>
        <w:rPr>
          <w:rFonts w:eastAsia="仿宋_GB2312"/>
          <w:sz w:val="32"/>
        </w:rPr>
      </w:pPr>
      <w:r>
        <w:rPr>
          <w:rFonts w:hint="eastAsia" w:eastAsia="仿宋_GB2312"/>
          <w:sz w:val="32"/>
        </w:rPr>
        <w:t>6.</w:t>
      </w:r>
      <w:r>
        <w:rPr>
          <w:rFonts w:eastAsia="仿宋_GB2312"/>
          <w:sz w:val="32"/>
        </w:rPr>
        <w:t>其他科学技术支出（款）科技奖励（项）。年初预算</w:t>
      </w:r>
      <w:r>
        <w:rPr>
          <w:rFonts w:hint="eastAsia" w:eastAsia="仿宋_GB2312"/>
          <w:sz w:val="32"/>
        </w:rPr>
        <w:t>0</w:t>
      </w:r>
      <w:r>
        <w:rPr>
          <w:rFonts w:eastAsia="仿宋_GB2312"/>
          <w:sz w:val="32"/>
        </w:rPr>
        <w:t>万元，支出决算10.68万元，完成年初预算的</w:t>
      </w:r>
      <w:r>
        <w:rPr>
          <w:rFonts w:hint="eastAsia" w:eastAsia="仿宋_GB2312"/>
          <w:sz w:val="32"/>
        </w:rPr>
        <w:t>100</w:t>
      </w:r>
      <w:r>
        <w:rPr>
          <w:rFonts w:eastAsia="仿宋_GB2312"/>
          <w:sz w:val="32"/>
        </w:rPr>
        <w:t>%。决算数与年初预算数的差异原因：鄂尔多斯市科技领军人才项目</w:t>
      </w:r>
      <w:r>
        <w:rPr>
          <w:rFonts w:hint="eastAsia" w:eastAsia="仿宋_GB2312"/>
          <w:sz w:val="32"/>
        </w:rPr>
        <w:t>为年中追加预算，从而</w:t>
      </w:r>
      <w:r>
        <w:rPr>
          <w:rFonts w:eastAsia="仿宋_GB2312"/>
          <w:sz w:val="32"/>
        </w:rPr>
        <w:t>导致决算数与年初预算数形成差异。</w:t>
      </w:r>
    </w:p>
    <w:p>
      <w:pPr>
        <w:autoSpaceDE w:val="0"/>
        <w:autoSpaceDN w:val="0"/>
        <w:adjustRightInd w:val="0"/>
        <w:spacing w:line="560" w:lineRule="exact"/>
        <w:ind w:firstLine="640"/>
        <w:rPr>
          <w:rFonts w:eastAsia="仿宋_GB2312"/>
          <w:sz w:val="32"/>
        </w:rPr>
      </w:pPr>
      <w:r>
        <w:rPr>
          <w:rFonts w:hint="eastAsia" w:eastAsia="仿宋_GB2312"/>
          <w:sz w:val="32"/>
        </w:rPr>
        <w:t>7.</w:t>
      </w:r>
      <w:r>
        <w:rPr>
          <w:rFonts w:eastAsia="仿宋_GB2312"/>
          <w:sz w:val="32"/>
        </w:rPr>
        <w:t>其他科学技术支出（款）其他科学技术支出（项）。年初预算</w:t>
      </w:r>
      <w:r>
        <w:rPr>
          <w:rFonts w:hint="eastAsia" w:eastAsia="仿宋_GB2312"/>
          <w:sz w:val="32"/>
        </w:rPr>
        <w:t>0</w:t>
      </w:r>
      <w:r>
        <w:rPr>
          <w:rFonts w:eastAsia="仿宋_GB2312"/>
          <w:sz w:val="32"/>
        </w:rPr>
        <w:t>万元，支出决算30.0</w:t>
      </w:r>
      <w:r>
        <w:rPr>
          <w:rFonts w:hint="eastAsia" w:eastAsia="仿宋_GB2312"/>
          <w:sz w:val="32"/>
        </w:rPr>
        <w:t>5</w:t>
      </w:r>
      <w:r>
        <w:rPr>
          <w:rFonts w:eastAsia="仿宋_GB2312"/>
          <w:sz w:val="32"/>
        </w:rPr>
        <w:t>万元，完成年初预算的</w:t>
      </w:r>
      <w:r>
        <w:rPr>
          <w:rFonts w:hint="eastAsia" w:eastAsia="仿宋_GB2312"/>
          <w:sz w:val="32"/>
        </w:rPr>
        <w:t>100</w:t>
      </w:r>
      <w:r>
        <w:rPr>
          <w:rFonts w:eastAsia="仿宋_GB2312"/>
          <w:sz w:val="32"/>
        </w:rPr>
        <w:t>%。决算数与年初预算数的差异原因：2022年市本级第三批科技兴蒙创新驱动协作经费</w:t>
      </w:r>
      <w:r>
        <w:rPr>
          <w:rFonts w:hint="eastAsia" w:eastAsia="仿宋_GB2312"/>
          <w:sz w:val="32"/>
        </w:rPr>
        <w:t>项目为年中追加预算，从而</w:t>
      </w:r>
      <w:r>
        <w:rPr>
          <w:rFonts w:eastAsia="仿宋_GB2312"/>
          <w:sz w:val="32"/>
        </w:rPr>
        <w:t>导致决算数与年初预算数形成差异。</w:t>
      </w:r>
    </w:p>
    <w:p>
      <w:pPr>
        <w:autoSpaceDE w:val="0"/>
        <w:autoSpaceDN w:val="0"/>
        <w:adjustRightInd w:val="0"/>
        <w:spacing w:line="560" w:lineRule="exact"/>
        <w:ind w:firstLine="643" w:firstLineChars="200"/>
        <w:rPr>
          <w:rFonts w:ascii="楷体" w:eastAsia="楷体"/>
          <w:b/>
          <w:sz w:val="32"/>
        </w:rPr>
      </w:pPr>
      <w:r>
        <w:rPr>
          <w:rFonts w:ascii="楷体" w:eastAsia="楷体"/>
          <w:b/>
          <w:sz w:val="32"/>
        </w:rPr>
        <w:t>（三）社会保障和就业支出（类）</w:t>
      </w:r>
    </w:p>
    <w:p>
      <w:pPr>
        <w:widowControl/>
        <w:spacing w:line="560" w:lineRule="exact"/>
        <w:ind w:firstLine="640" w:firstLineChars="200"/>
        <w:jc w:val="left"/>
        <w:rPr>
          <w:rFonts w:eastAsia="仿宋_GB2312"/>
          <w:sz w:val="32"/>
          <w:szCs w:val="32"/>
        </w:rPr>
      </w:pPr>
      <w:r>
        <w:rPr>
          <w:rFonts w:hint="eastAsia" w:eastAsia="仿宋_GB2312"/>
          <w:sz w:val="32"/>
          <w:szCs w:val="32"/>
        </w:rPr>
        <w:t>社会保障和就业支出（类）决算数为 695.29万元，与年初预算相比增加 34.16万元。其中：</w:t>
      </w:r>
    </w:p>
    <w:p>
      <w:pPr>
        <w:widowControl/>
        <w:spacing w:line="560" w:lineRule="exact"/>
        <w:ind w:firstLine="640" w:firstLineChars="200"/>
        <w:jc w:val="left"/>
        <w:rPr>
          <w:rFonts w:eastAsia="仿宋_GB2312"/>
          <w:sz w:val="32"/>
          <w:szCs w:val="32"/>
        </w:rPr>
      </w:pPr>
      <w:r>
        <w:rPr>
          <w:rFonts w:hint="eastAsia" w:eastAsia="仿宋_GB2312"/>
          <w:sz w:val="32"/>
          <w:szCs w:val="32"/>
        </w:rPr>
        <w:t>1.</w:t>
      </w:r>
      <w:r>
        <w:rPr>
          <w:rFonts w:eastAsia="仿宋_GB2312"/>
          <w:sz w:val="32"/>
          <w:szCs w:val="32"/>
        </w:rPr>
        <w:t>人力资源和社会保障管理事务（款）引进人才费用（项）。年初预算</w:t>
      </w:r>
      <w:r>
        <w:rPr>
          <w:rFonts w:hint="eastAsia" w:eastAsia="仿宋_GB2312"/>
          <w:sz w:val="32"/>
          <w:szCs w:val="32"/>
        </w:rPr>
        <w:t>0</w:t>
      </w:r>
      <w:r>
        <w:rPr>
          <w:rFonts w:eastAsia="仿宋_GB2312"/>
          <w:sz w:val="32"/>
          <w:szCs w:val="32"/>
        </w:rPr>
        <w:t>万元，支出决算</w:t>
      </w:r>
      <w:r>
        <w:rPr>
          <w:rFonts w:hint="eastAsia" w:eastAsia="仿宋_GB2312"/>
          <w:sz w:val="32"/>
          <w:szCs w:val="32"/>
        </w:rPr>
        <w:t>0.16</w:t>
      </w:r>
      <w:r>
        <w:rPr>
          <w:rFonts w:eastAsia="仿宋_GB2312"/>
          <w:sz w:val="32"/>
          <w:szCs w:val="32"/>
        </w:rPr>
        <w:t>万元，完成年初预算的</w:t>
      </w:r>
      <w:r>
        <w:rPr>
          <w:rFonts w:hint="eastAsia" w:eastAsia="仿宋_GB2312"/>
          <w:sz w:val="32"/>
          <w:szCs w:val="32"/>
        </w:rPr>
        <w:t>100</w:t>
      </w:r>
      <w:r>
        <w:rPr>
          <w:rFonts w:eastAsia="仿宋_GB2312"/>
          <w:sz w:val="32"/>
          <w:szCs w:val="32"/>
        </w:rPr>
        <w:t>%。决算数与年初预算数的差异原因：药物创新研发及临床合理应用创新人才团队项目</w:t>
      </w:r>
      <w:r>
        <w:rPr>
          <w:rFonts w:hint="eastAsia" w:eastAsia="仿宋_GB2312"/>
          <w:sz w:val="32"/>
          <w:szCs w:val="32"/>
        </w:rPr>
        <w:t>支出，</w:t>
      </w:r>
      <w:r>
        <w:rPr>
          <w:rFonts w:eastAsia="仿宋_GB2312"/>
          <w:sz w:val="32"/>
          <w:szCs w:val="32"/>
        </w:rPr>
        <w:t>使用以前年度结转资金，</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ind w:firstLine="640" w:firstLineChars="200"/>
        <w:jc w:val="left"/>
        <w:rPr>
          <w:rFonts w:eastAsia="仿宋_GB2312"/>
          <w:sz w:val="32"/>
          <w:szCs w:val="32"/>
        </w:rPr>
      </w:pPr>
      <w:r>
        <w:rPr>
          <w:rFonts w:eastAsia="仿宋_GB2312"/>
          <w:sz w:val="32"/>
          <w:szCs w:val="32"/>
        </w:rPr>
        <w:t> 2．行政事业单位养老支出（款）事业单位离退休（项）。年初预算</w:t>
      </w:r>
      <w:r>
        <w:rPr>
          <w:rFonts w:hint="eastAsia" w:eastAsia="仿宋_GB2312"/>
          <w:sz w:val="32"/>
          <w:szCs w:val="32"/>
        </w:rPr>
        <w:t>424.62</w:t>
      </w:r>
      <w:r>
        <w:rPr>
          <w:rFonts w:eastAsia="仿宋_GB2312"/>
          <w:sz w:val="32"/>
          <w:szCs w:val="32"/>
        </w:rPr>
        <w:t>万元，支出决算</w:t>
      </w:r>
      <w:r>
        <w:rPr>
          <w:rFonts w:hint="eastAsia" w:eastAsia="仿宋_GB2312"/>
          <w:sz w:val="32"/>
          <w:szCs w:val="32"/>
        </w:rPr>
        <w:t>422.98</w:t>
      </w:r>
      <w:r>
        <w:rPr>
          <w:rFonts w:eastAsia="仿宋_GB2312"/>
          <w:sz w:val="32"/>
          <w:szCs w:val="32"/>
        </w:rPr>
        <w:t>万元，完成年初预算的</w:t>
      </w:r>
      <w:r>
        <w:rPr>
          <w:rFonts w:hint="eastAsia" w:eastAsia="仿宋_GB2312"/>
          <w:sz w:val="32"/>
          <w:szCs w:val="32"/>
        </w:rPr>
        <w:t>99.61</w:t>
      </w:r>
      <w:r>
        <w:rPr>
          <w:rFonts w:eastAsia="仿宋_GB2312"/>
          <w:sz w:val="32"/>
          <w:szCs w:val="32"/>
        </w:rPr>
        <w:t>%。决算数与年初预算数的差异原因：</w:t>
      </w:r>
      <w:r>
        <w:rPr>
          <w:rFonts w:hint="eastAsia" w:eastAsia="仿宋_GB2312"/>
          <w:sz w:val="32"/>
          <w:szCs w:val="32"/>
        </w:rPr>
        <w:t>退休人员停薪核减工资，使得决算数低于年初预算数</w:t>
      </w:r>
      <w:r>
        <w:rPr>
          <w:rFonts w:eastAsia="仿宋_GB2312"/>
          <w:sz w:val="32"/>
          <w:szCs w:val="32"/>
        </w:rPr>
        <w:t>。</w:t>
      </w:r>
    </w:p>
    <w:p>
      <w:pPr>
        <w:widowControl/>
        <w:spacing w:line="560" w:lineRule="exact"/>
        <w:ind w:firstLine="640" w:firstLineChars="200"/>
        <w:jc w:val="left"/>
        <w:rPr>
          <w:rFonts w:eastAsia="仿宋_GB2312"/>
          <w:sz w:val="32"/>
          <w:szCs w:val="32"/>
        </w:rPr>
      </w:pPr>
      <w:r>
        <w:rPr>
          <w:rFonts w:eastAsia="仿宋_GB2312"/>
          <w:sz w:val="32"/>
          <w:szCs w:val="32"/>
        </w:rPr>
        <w:t>3．行政事业单位养老支出（款）机关事业单位基本养老保险缴费支出（项）。年初预算236.51万元，支出决算219.34万元，完成年初预算的</w:t>
      </w:r>
      <w:r>
        <w:rPr>
          <w:rFonts w:hint="eastAsia" w:eastAsia="仿宋_GB2312"/>
          <w:sz w:val="32"/>
          <w:szCs w:val="32"/>
        </w:rPr>
        <w:t>92.74</w:t>
      </w:r>
      <w:r>
        <w:rPr>
          <w:rFonts w:eastAsia="仿宋_GB2312"/>
          <w:sz w:val="32"/>
          <w:szCs w:val="32"/>
        </w:rPr>
        <w:t>%。决算数与年初预算数的差异原因：在职人员转退休24人，</w:t>
      </w:r>
      <w:r>
        <w:rPr>
          <w:rFonts w:hint="eastAsia" w:eastAsia="仿宋_GB2312"/>
          <w:sz w:val="32"/>
          <w:szCs w:val="32"/>
        </w:rPr>
        <w:t>使得决算数低于年初预算数</w:t>
      </w:r>
      <w:r>
        <w:rPr>
          <w:rFonts w:eastAsia="仿宋_GB2312"/>
          <w:sz w:val="32"/>
          <w:szCs w:val="32"/>
        </w:rPr>
        <w:t>。</w:t>
      </w:r>
    </w:p>
    <w:p>
      <w:pPr>
        <w:widowControl/>
        <w:spacing w:line="560" w:lineRule="exact"/>
        <w:ind w:firstLine="640" w:firstLineChars="200"/>
        <w:jc w:val="left"/>
        <w:rPr>
          <w:rFonts w:eastAsia="仿宋_GB2312"/>
          <w:sz w:val="32"/>
          <w:szCs w:val="32"/>
        </w:rPr>
      </w:pPr>
      <w:r>
        <w:rPr>
          <w:rFonts w:eastAsia="仿宋_GB2312"/>
          <w:sz w:val="32"/>
          <w:szCs w:val="32"/>
        </w:rPr>
        <w:t>4．抚恤（款）死亡抚恤（项）。年初预算0万元，支出决算</w:t>
      </w:r>
      <w:r>
        <w:rPr>
          <w:rFonts w:hint="eastAsia" w:eastAsia="仿宋_GB2312"/>
          <w:sz w:val="32"/>
          <w:szCs w:val="32"/>
        </w:rPr>
        <w:t>52.81</w:t>
      </w:r>
      <w:r>
        <w:rPr>
          <w:rFonts w:eastAsia="仿宋_GB2312"/>
          <w:sz w:val="32"/>
          <w:szCs w:val="32"/>
        </w:rPr>
        <w:t>万元，完成年初预算的</w:t>
      </w:r>
      <w:r>
        <w:rPr>
          <w:rFonts w:hint="eastAsia" w:eastAsia="仿宋_GB2312"/>
          <w:sz w:val="32"/>
          <w:szCs w:val="32"/>
        </w:rPr>
        <w:t>100</w:t>
      </w:r>
      <w:r>
        <w:rPr>
          <w:rFonts w:eastAsia="仿宋_GB2312"/>
          <w:sz w:val="32"/>
          <w:szCs w:val="32"/>
        </w:rPr>
        <w:t>%。决算数与年初预算数的差异原因：陈爱芹、冯利民、宗广胜、王进孝死亡抚恤支出</w:t>
      </w:r>
      <w:r>
        <w:rPr>
          <w:rFonts w:hint="eastAsia" w:eastAsia="仿宋_GB2312"/>
          <w:sz w:val="32"/>
          <w:szCs w:val="32"/>
        </w:rPr>
        <w:t>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jc w:val="left"/>
        <w:rPr>
          <w:rFonts w:eastAsia="Times New Roman"/>
          <w:kern w:val="0"/>
          <w:sz w:val="24"/>
        </w:rPr>
      </w:pPr>
      <w:r>
        <w:rPr>
          <w:rFonts w:ascii="kai_ti_gb2312" w:hAnsi="kai_ti_gb2312" w:eastAsia="kai_ti_gb2312" w:cs="kai_ti_gb2312"/>
          <w:b/>
          <w:bCs/>
          <w:color w:val="000000"/>
          <w:kern w:val="0"/>
          <w:sz w:val="27"/>
          <w:szCs w:val="27"/>
        </w:rPr>
        <w:t xml:space="preserve">  </w:t>
      </w:r>
      <w:r>
        <w:rPr>
          <w:rFonts w:eastAsia="方正楷体_GB2312"/>
          <w:kern w:val="0"/>
          <w:sz w:val="32"/>
          <w:szCs w:val="32"/>
        </w:rPr>
        <w:t xml:space="preserve">  </w:t>
      </w:r>
      <w:r>
        <w:rPr>
          <w:rFonts w:ascii="楷体" w:eastAsia="楷体"/>
          <w:b/>
          <w:sz w:val="32"/>
        </w:rPr>
        <w:t>（四）卫生健康支出（类）</w:t>
      </w:r>
    </w:p>
    <w:p>
      <w:pPr>
        <w:widowControl/>
        <w:spacing w:line="560" w:lineRule="exact"/>
        <w:ind w:firstLine="640" w:firstLineChars="200"/>
        <w:jc w:val="left"/>
        <w:rPr>
          <w:rFonts w:eastAsia="仿宋_GB2312"/>
          <w:sz w:val="32"/>
          <w:szCs w:val="32"/>
        </w:rPr>
      </w:pPr>
      <w:r>
        <w:rPr>
          <w:rFonts w:eastAsia="仿宋_GB2312"/>
          <w:sz w:val="32"/>
          <w:szCs w:val="32"/>
        </w:rPr>
        <w:t>卫生健康支出（类）决算数为 40</w:t>
      </w:r>
      <w:r>
        <w:rPr>
          <w:rFonts w:hint="eastAsia" w:eastAsia="仿宋_GB2312"/>
          <w:sz w:val="32"/>
          <w:szCs w:val="32"/>
        </w:rPr>
        <w:t>,</w:t>
      </w:r>
      <w:r>
        <w:rPr>
          <w:rFonts w:eastAsia="仿宋_GB2312"/>
          <w:sz w:val="32"/>
          <w:szCs w:val="32"/>
        </w:rPr>
        <w:t>547.20万元，与年初预算相比增加18</w:t>
      </w:r>
      <w:r>
        <w:rPr>
          <w:rFonts w:hint="eastAsia" w:eastAsia="仿宋_GB2312"/>
          <w:sz w:val="32"/>
          <w:szCs w:val="32"/>
        </w:rPr>
        <w:t>,</w:t>
      </w:r>
      <w:r>
        <w:rPr>
          <w:rFonts w:eastAsia="仿宋_GB2312"/>
          <w:sz w:val="32"/>
          <w:szCs w:val="32"/>
        </w:rPr>
        <w:t>341.28万元。其中：</w:t>
      </w:r>
    </w:p>
    <w:p>
      <w:pPr>
        <w:widowControl/>
        <w:spacing w:line="560" w:lineRule="exact"/>
        <w:ind w:firstLine="640" w:firstLineChars="200"/>
        <w:jc w:val="left"/>
        <w:rPr>
          <w:rFonts w:eastAsia="仿宋_GB2312"/>
          <w:sz w:val="32"/>
          <w:szCs w:val="32"/>
        </w:rPr>
      </w:pPr>
      <w:r>
        <w:rPr>
          <w:rFonts w:hint="eastAsia" w:eastAsia="仿宋_GB2312"/>
          <w:sz w:val="32"/>
          <w:szCs w:val="32"/>
        </w:rPr>
        <w:t>1</w:t>
      </w:r>
      <w:r>
        <w:rPr>
          <w:rFonts w:eastAsia="仿宋_GB2312"/>
          <w:sz w:val="32"/>
          <w:szCs w:val="32"/>
        </w:rPr>
        <w:t>．公立医院（款）综合医院（项）。年初预算20</w:t>
      </w:r>
      <w:r>
        <w:rPr>
          <w:rFonts w:hint="eastAsia" w:eastAsia="仿宋_GB2312"/>
          <w:sz w:val="32"/>
          <w:szCs w:val="32"/>
        </w:rPr>
        <w:t>,</w:t>
      </w:r>
      <w:r>
        <w:rPr>
          <w:rFonts w:eastAsia="仿宋_GB2312"/>
          <w:sz w:val="32"/>
          <w:szCs w:val="32"/>
        </w:rPr>
        <w:t>432.46万元，支出决算35</w:t>
      </w:r>
      <w:r>
        <w:rPr>
          <w:rFonts w:hint="eastAsia" w:eastAsia="仿宋_GB2312"/>
          <w:sz w:val="32"/>
          <w:szCs w:val="32"/>
        </w:rPr>
        <w:t>,</w:t>
      </w:r>
      <w:r>
        <w:rPr>
          <w:rFonts w:eastAsia="仿宋_GB2312"/>
          <w:sz w:val="32"/>
          <w:szCs w:val="32"/>
        </w:rPr>
        <w:t>396.77万元，完成年初预算的</w:t>
      </w:r>
      <w:r>
        <w:rPr>
          <w:rFonts w:hint="eastAsia" w:eastAsia="仿宋_GB2312"/>
          <w:sz w:val="32"/>
          <w:szCs w:val="32"/>
        </w:rPr>
        <w:t>173.24</w:t>
      </w:r>
      <w:r>
        <w:rPr>
          <w:rFonts w:eastAsia="仿宋_GB2312"/>
          <w:sz w:val="32"/>
          <w:szCs w:val="32"/>
        </w:rPr>
        <w:t>%。决算数与年初预算数的差异原因：医疗综合楼配备设备项目</w:t>
      </w:r>
      <w:r>
        <w:rPr>
          <w:rFonts w:hint="eastAsia" w:eastAsia="仿宋_GB2312"/>
          <w:sz w:val="32"/>
          <w:szCs w:val="32"/>
        </w:rPr>
        <w:t>及鄂尔多斯市中心医院与北京清华长庚医院科研项目合作经费项目等为年中追加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ind w:firstLine="640" w:firstLineChars="200"/>
        <w:jc w:val="left"/>
        <w:rPr>
          <w:rFonts w:eastAsia="仿宋_GB2312"/>
          <w:sz w:val="32"/>
          <w:szCs w:val="32"/>
        </w:rPr>
      </w:pPr>
    </w:p>
    <w:p>
      <w:pPr>
        <w:widowControl/>
        <w:spacing w:line="560" w:lineRule="exact"/>
        <w:ind w:firstLine="640" w:firstLineChars="200"/>
        <w:jc w:val="left"/>
        <w:rPr>
          <w:rFonts w:eastAsia="仿宋_GB2312"/>
          <w:sz w:val="32"/>
          <w:szCs w:val="32"/>
        </w:rPr>
      </w:pPr>
      <w:r>
        <w:rPr>
          <w:rFonts w:hint="eastAsia" w:eastAsia="仿宋_GB2312"/>
          <w:sz w:val="32"/>
          <w:szCs w:val="32"/>
        </w:rPr>
        <w:t> 2</w:t>
      </w:r>
      <w:r>
        <w:rPr>
          <w:rFonts w:eastAsia="仿宋_GB2312"/>
          <w:sz w:val="32"/>
          <w:szCs w:val="32"/>
        </w:rPr>
        <w:t>．公立医院（款）其他公立医院支出（项）。年初预算1205.95万元，支出决算2235.7</w:t>
      </w:r>
      <w:r>
        <w:rPr>
          <w:rFonts w:hint="eastAsia" w:eastAsia="仿宋_GB2312"/>
          <w:sz w:val="32"/>
          <w:szCs w:val="32"/>
        </w:rPr>
        <w:t>5</w:t>
      </w:r>
      <w:r>
        <w:rPr>
          <w:rFonts w:eastAsia="仿宋_GB2312"/>
          <w:sz w:val="32"/>
          <w:szCs w:val="32"/>
        </w:rPr>
        <w:t>万元，完成年初预算的</w:t>
      </w:r>
      <w:r>
        <w:rPr>
          <w:rFonts w:hint="eastAsia" w:eastAsia="仿宋_GB2312"/>
          <w:sz w:val="32"/>
          <w:szCs w:val="32"/>
        </w:rPr>
        <w:t>185.39</w:t>
      </w:r>
      <w:r>
        <w:rPr>
          <w:rFonts w:eastAsia="仿宋_GB2312"/>
          <w:sz w:val="32"/>
          <w:szCs w:val="32"/>
        </w:rPr>
        <w:t>%。决算数与年初预算数的差异原因：市级影像云平台运营补贴资金</w:t>
      </w:r>
      <w:r>
        <w:rPr>
          <w:rFonts w:hint="eastAsia" w:eastAsia="仿宋_GB2312"/>
          <w:sz w:val="32"/>
          <w:szCs w:val="32"/>
        </w:rPr>
        <w:t>项目、2024年市直属医疗机构普外科重点学科建设经费项目及2024年市直属医疗机构医学影像科重点学科建设经费项目等为年中追加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ind w:firstLine="640" w:firstLineChars="200"/>
        <w:jc w:val="left"/>
        <w:rPr>
          <w:rFonts w:eastAsia="仿宋_GB2312"/>
          <w:sz w:val="32"/>
          <w:szCs w:val="32"/>
        </w:rPr>
      </w:pPr>
      <w:r>
        <w:rPr>
          <w:rFonts w:hint="eastAsia" w:eastAsia="仿宋_GB2312"/>
          <w:sz w:val="32"/>
          <w:szCs w:val="32"/>
        </w:rPr>
        <w:t>3</w:t>
      </w:r>
      <w:r>
        <w:rPr>
          <w:rFonts w:eastAsia="仿宋_GB2312"/>
          <w:sz w:val="32"/>
          <w:szCs w:val="32"/>
        </w:rPr>
        <w:t>.公共卫生（款）基本公共卫生服务（项）。年初预算</w:t>
      </w:r>
      <w:r>
        <w:rPr>
          <w:rFonts w:hint="eastAsia" w:eastAsia="仿宋_GB2312"/>
          <w:sz w:val="32"/>
          <w:szCs w:val="32"/>
        </w:rPr>
        <w:t>0</w:t>
      </w:r>
      <w:r>
        <w:rPr>
          <w:rFonts w:eastAsia="仿宋_GB2312"/>
          <w:sz w:val="32"/>
          <w:szCs w:val="32"/>
        </w:rPr>
        <w:t>万元，支出决算21.97万元，完成年初预算的</w:t>
      </w:r>
      <w:r>
        <w:rPr>
          <w:rFonts w:hint="eastAsia" w:eastAsia="仿宋_GB2312"/>
          <w:sz w:val="32"/>
          <w:szCs w:val="32"/>
        </w:rPr>
        <w:t>100</w:t>
      </w:r>
      <w:r>
        <w:rPr>
          <w:rFonts w:eastAsia="仿宋_GB2312"/>
          <w:sz w:val="32"/>
          <w:szCs w:val="32"/>
        </w:rPr>
        <w:t>%。决算数与年初预算数的差异原因：中央基本公共卫生服务补助资金</w:t>
      </w:r>
      <w:r>
        <w:rPr>
          <w:rFonts w:hint="eastAsia" w:eastAsia="仿宋_GB2312"/>
          <w:sz w:val="32"/>
          <w:szCs w:val="32"/>
        </w:rPr>
        <w:t>项目为年中追加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ind w:firstLine="640" w:firstLineChars="200"/>
        <w:jc w:val="left"/>
        <w:rPr>
          <w:rFonts w:eastAsia="仿宋_GB2312"/>
          <w:sz w:val="32"/>
          <w:szCs w:val="32"/>
        </w:rPr>
      </w:pPr>
      <w:r>
        <w:rPr>
          <w:rFonts w:hint="eastAsia" w:eastAsia="仿宋_GB2312"/>
          <w:sz w:val="32"/>
          <w:szCs w:val="32"/>
        </w:rPr>
        <w:t>4</w:t>
      </w:r>
      <w:r>
        <w:rPr>
          <w:rFonts w:eastAsia="仿宋_GB2312"/>
          <w:sz w:val="32"/>
          <w:szCs w:val="32"/>
        </w:rPr>
        <w:t>. 公共卫生（款）重大公共卫生服务（项）。年初预算140.83万元，支出决算109.53万元，完成年初预算的</w:t>
      </w:r>
      <w:r>
        <w:rPr>
          <w:rFonts w:hint="eastAsia" w:eastAsia="仿宋_GB2312"/>
          <w:sz w:val="32"/>
          <w:szCs w:val="32"/>
        </w:rPr>
        <w:t>77.77</w:t>
      </w:r>
      <w:r>
        <w:rPr>
          <w:rFonts w:eastAsia="仿宋_GB2312"/>
          <w:sz w:val="32"/>
          <w:szCs w:val="32"/>
        </w:rPr>
        <w:t>%。决算数与年初预算数的差异原因：2024年中央重大传染病防控经费新冠等重点传染病监测项目</w:t>
      </w:r>
      <w:r>
        <w:rPr>
          <w:rFonts w:hint="eastAsia" w:eastAsia="仿宋_GB2312"/>
          <w:sz w:val="32"/>
          <w:szCs w:val="32"/>
        </w:rPr>
        <w:t>、2024年中央重大传染病防控经费补助资金项目等支出进度慢，被</w:t>
      </w:r>
      <w:r>
        <w:rPr>
          <w:rFonts w:eastAsia="仿宋_GB2312"/>
          <w:sz w:val="32"/>
          <w:szCs w:val="32"/>
        </w:rPr>
        <w:t>上级部门收回</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ind w:firstLine="640" w:firstLineChars="200"/>
        <w:jc w:val="left"/>
        <w:rPr>
          <w:rFonts w:eastAsia="仿宋_GB2312"/>
          <w:sz w:val="32"/>
          <w:szCs w:val="32"/>
        </w:rPr>
      </w:pPr>
      <w:r>
        <w:rPr>
          <w:rFonts w:hint="eastAsia" w:eastAsia="仿宋_GB2312"/>
          <w:sz w:val="32"/>
          <w:szCs w:val="32"/>
        </w:rPr>
        <w:t>5</w:t>
      </w:r>
      <w:r>
        <w:rPr>
          <w:rFonts w:eastAsia="仿宋_GB2312"/>
          <w:sz w:val="32"/>
          <w:szCs w:val="32"/>
        </w:rPr>
        <w:t>.公共卫生（款）突发公共卫生事件应急处理（项）。年初预算</w:t>
      </w:r>
      <w:r>
        <w:rPr>
          <w:rFonts w:hint="eastAsia" w:eastAsia="仿宋_GB2312"/>
          <w:sz w:val="32"/>
          <w:szCs w:val="32"/>
        </w:rPr>
        <w:t>0</w:t>
      </w:r>
      <w:r>
        <w:rPr>
          <w:rFonts w:eastAsia="仿宋_GB2312"/>
          <w:sz w:val="32"/>
          <w:szCs w:val="32"/>
        </w:rPr>
        <w:t>万元，支出决算739.01万元，完成年初预算的</w:t>
      </w:r>
      <w:r>
        <w:rPr>
          <w:rFonts w:hint="eastAsia" w:eastAsia="仿宋_GB2312"/>
          <w:sz w:val="32"/>
          <w:szCs w:val="32"/>
        </w:rPr>
        <w:t>100</w:t>
      </w:r>
      <w:r>
        <w:rPr>
          <w:rFonts w:eastAsia="仿宋_GB2312"/>
          <w:sz w:val="32"/>
          <w:szCs w:val="32"/>
        </w:rPr>
        <w:t>%。决算数与年初预算数的差异原因：2024年中央过渡期前医务人员临时性工作补助</w:t>
      </w:r>
      <w:r>
        <w:rPr>
          <w:rFonts w:hint="eastAsia" w:eastAsia="仿宋_GB2312"/>
          <w:sz w:val="32"/>
          <w:szCs w:val="32"/>
        </w:rPr>
        <w:t>、</w:t>
      </w:r>
      <w:r>
        <w:rPr>
          <w:rFonts w:eastAsia="仿宋_GB2312"/>
          <w:sz w:val="32"/>
          <w:szCs w:val="32"/>
        </w:rPr>
        <w:t>新冠疫情防控期间相关经费补助资金</w:t>
      </w:r>
      <w:r>
        <w:rPr>
          <w:rFonts w:hint="eastAsia" w:eastAsia="仿宋_GB2312"/>
          <w:sz w:val="32"/>
          <w:szCs w:val="32"/>
        </w:rPr>
        <w:t>等项目为年中追加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ind w:firstLine="640" w:firstLineChars="200"/>
        <w:jc w:val="left"/>
        <w:rPr>
          <w:rFonts w:eastAsia="仿宋_GB2312"/>
          <w:sz w:val="32"/>
          <w:szCs w:val="32"/>
        </w:rPr>
      </w:pPr>
      <w:r>
        <w:rPr>
          <w:rFonts w:hint="eastAsia" w:eastAsia="仿宋_GB2312"/>
          <w:sz w:val="32"/>
          <w:szCs w:val="32"/>
        </w:rPr>
        <w:t>6</w:t>
      </w:r>
      <w:r>
        <w:rPr>
          <w:rFonts w:eastAsia="仿宋_GB2312"/>
          <w:sz w:val="32"/>
          <w:szCs w:val="32"/>
        </w:rPr>
        <w:t>.公共卫生（款）其他公共卫生支出（项）。年初预算308.32万元，支出决算1961.37万元，完成年初预算的</w:t>
      </w:r>
      <w:r>
        <w:rPr>
          <w:rFonts w:hint="eastAsia" w:eastAsia="仿宋_GB2312"/>
          <w:sz w:val="32"/>
          <w:szCs w:val="32"/>
        </w:rPr>
        <w:t>636.15</w:t>
      </w:r>
      <w:r>
        <w:rPr>
          <w:rFonts w:eastAsia="仿宋_GB2312"/>
          <w:sz w:val="32"/>
          <w:szCs w:val="32"/>
        </w:rPr>
        <w:t>%。决算数与年初预算数的差异原因：2024年市级为民办实事项目工作经费无创产前基因筛查项目</w:t>
      </w:r>
      <w:r>
        <w:rPr>
          <w:rFonts w:hint="eastAsia" w:eastAsia="仿宋_GB2312"/>
          <w:sz w:val="32"/>
          <w:szCs w:val="32"/>
        </w:rPr>
        <w:t>、新冠患者救治费用项目等为年中追加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widowControl/>
        <w:spacing w:line="560" w:lineRule="exact"/>
        <w:ind w:firstLine="640" w:firstLineChars="200"/>
        <w:jc w:val="left"/>
        <w:rPr>
          <w:rFonts w:eastAsia="仿宋_GB2312"/>
          <w:sz w:val="32"/>
          <w:szCs w:val="32"/>
        </w:rPr>
      </w:pPr>
      <w:r>
        <w:rPr>
          <w:rFonts w:hint="eastAsia" w:eastAsia="仿宋_GB2312"/>
          <w:sz w:val="32"/>
          <w:szCs w:val="32"/>
        </w:rPr>
        <w:t>7.</w:t>
      </w:r>
      <w:r>
        <w:rPr>
          <w:rFonts w:eastAsia="仿宋_GB2312"/>
          <w:sz w:val="32"/>
          <w:szCs w:val="32"/>
        </w:rPr>
        <w:t>行政事业单位医疗（款）事业单位医疗（项）。年初预算118.36万元，支出决算82.07万元，完成年初预算的</w:t>
      </w:r>
      <w:r>
        <w:rPr>
          <w:rFonts w:hint="eastAsia" w:eastAsia="仿宋_GB2312"/>
          <w:sz w:val="32"/>
          <w:szCs w:val="32"/>
        </w:rPr>
        <w:t>69.34</w:t>
      </w:r>
      <w:r>
        <w:rPr>
          <w:rFonts w:eastAsia="仿宋_GB2312"/>
          <w:sz w:val="32"/>
          <w:szCs w:val="32"/>
        </w:rPr>
        <w:t>%。决算数与年初预算数的差异原因：该款项中包含公务员医疗补助缴费金额</w:t>
      </w:r>
      <w:r>
        <w:rPr>
          <w:rFonts w:hint="eastAsia" w:eastAsia="仿宋_GB2312"/>
          <w:sz w:val="32"/>
          <w:szCs w:val="32"/>
        </w:rPr>
        <w:t>30.27</w:t>
      </w:r>
      <w:r>
        <w:rPr>
          <w:rFonts w:eastAsia="仿宋_GB2312"/>
          <w:sz w:val="32"/>
          <w:szCs w:val="32"/>
        </w:rPr>
        <w:t>万元，因我单位是事业单位，不发放此部分资金，此外部分在职人员转退休金额6.</w:t>
      </w:r>
      <w:r>
        <w:rPr>
          <w:rFonts w:hint="eastAsia" w:eastAsia="仿宋_GB2312"/>
          <w:sz w:val="32"/>
          <w:szCs w:val="32"/>
        </w:rPr>
        <w:t>02</w:t>
      </w:r>
      <w:r>
        <w:rPr>
          <w:rFonts w:eastAsia="仿宋_GB2312"/>
          <w:sz w:val="32"/>
          <w:szCs w:val="32"/>
        </w:rPr>
        <w:t>万元，年末该部分差额上级部门收回。</w:t>
      </w:r>
    </w:p>
    <w:p>
      <w:pPr>
        <w:widowControl/>
        <w:spacing w:line="560" w:lineRule="exact"/>
        <w:ind w:firstLine="640" w:firstLineChars="200"/>
        <w:jc w:val="left"/>
        <w:rPr>
          <w:rFonts w:eastAsia="仿宋_GB2312"/>
          <w:sz w:val="32"/>
          <w:szCs w:val="32"/>
        </w:rPr>
      </w:pPr>
      <w:r>
        <w:rPr>
          <w:rFonts w:hint="eastAsia" w:eastAsia="仿宋_GB2312"/>
          <w:sz w:val="32"/>
          <w:szCs w:val="32"/>
        </w:rPr>
        <w:t>8</w:t>
      </w:r>
      <w:r>
        <w:rPr>
          <w:rFonts w:eastAsia="仿宋_GB2312"/>
          <w:sz w:val="32"/>
          <w:szCs w:val="32"/>
        </w:rPr>
        <w:t>.中医药（款）中医(民族医)药专项（项）。年初预算0万元，支出决算0.</w:t>
      </w:r>
      <w:r>
        <w:rPr>
          <w:rFonts w:hint="eastAsia" w:eastAsia="仿宋_GB2312"/>
          <w:sz w:val="32"/>
          <w:szCs w:val="32"/>
        </w:rPr>
        <w:t>72</w:t>
      </w:r>
      <w:r>
        <w:rPr>
          <w:rFonts w:eastAsia="仿宋_GB2312"/>
          <w:sz w:val="32"/>
          <w:szCs w:val="32"/>
        </w:rPr>
        <w:t>万元，完成年初预算的100%。决算数与年初预算数的差异原因：2024年市级中医药（蒙医药）发展专项经费</w:t>
      </w:r>
      <w:r>
        <w:rPr>
          <w:rFonts w:hint="eastAsia" w:eastAsia="仿宋_GB2312"/>
          <w:sz w:val="32"/>
          <w:szCs w:val="32"/>
        </w:rPr>
        <w:t>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tabs>
          <w:tab w:val="left" w:pos="4275"/>
        </w:tabs>
        <w:autoSpaceDE w:val="0"/>
        <w:autoSpaceDN w:val="0"/>
        <w:adjustRightInd w:val="0"/>
        <w:spacing w:line="560" w:lineRule="exact"/>
        <w:ind w:firstLine="643"/>
        <w:rPr>
          <w:rFonts w:ascii="楷体" w:eastAsia="楷体"/>
          <w:b/>
          <w:sz w:val="32"/>
        </w:rPr>
      </w:pPr>
      <w:r>
        <w:rPr>
          <w:rFonts w:ascii="楷体" w:eastAsia="楷体"/>
          <w:b/>
          <w:sz w:val="32"/>
        </w:rPr>
        <w:t>（</w:t>
      </w:r>
      <w:r>
        <w:rPr>
          <w:rFonts w:hint="eastAsia" w:ascii="楷体" w:eastAsia="楷体"/>
          <w:b/>
          <w:sz w:val="32"/>
        </w:rPr>
        <w:t>五</w:t>
      </w:r>
      <w:r>
        <w:rPr>
          <w:rFonts w:ascii="楷体" w:eastAsia="楷体"/>
          <w:b/>
          <w:sz w:val="32"/>
        </w:rPr>
        <w:t>）城乡社区支出（类）</w:t>
      </w:r>
    </w:p>
    <w:p>
      <w:pPr>
        <w:widowControl/>
        <w:spacing w:line="560" w:lineRule="exact"/>
        <w:ind w:firstLine="640" w:firstLineChars="200"/>
        <w:jc w:val="left"/>
        <w:rPr>
          <w:rFonts w:eastAsia="仿宋_GB2312"/>
          <w:sz w:val="32"/>
          <w:szCs w:val="32"/>
        </w:rPr>
      </w:pPr>
      <w:r>
        <w:rPr>
          <w:rFonts w:eastAsia="仿宋_GB2312"/>
          <w:sz w:val="32"/>
          <w:szCs w:val="32"/>
        </w:rPr>
        <w:t> 城乡社区支出（类）决算数为 498.04万元，与年初预算相比</w:t>
      </w:r>
      <w:r>
        <w:rPr>
          <w:rFonts w:hint="eastAsia" w:eastAsia="仿宋_GB2312"/>
          <w:sz w:val="32"/>
          <w:szCs w:val="32"/>
        </w:rPr>
        <w:t>增加</w:t>
      </w:r>
      <w:r>
        <w:rPr>
          <w:rFonts w:eastAsia="仿宋_GB2312"/>
          <w:sz w:val="32"/>
          <w:szCs w:val="32"/>
        </w:rPr>
        <w:t>498.04万元。其中：</w:t>
      </w:r>
    </w:p>
    <w:p>
      <w:pPr>
        <w:widowControl/>
        <w:spacing w:line="560" w:lineRule="exact"/>
        <w:ind w:firstLine="640" w:firstLineChars="200"/>
        <w:jc w:val="left"/>
        <w:rPr>
          <w:rFonts w:eastAsia="仿宋_GB2312"/>
          <w:sz w:val="32"/>
          <w:szCs w:val="32"/>
        </w:rPr>
      </w:pPr>
      <w:r>
        <w:rPr>
          <w:rFonts w:hint="eastAsia" w:eastAsia="仿宋_GB2312"/>
          <w:sz w:val="32"/>
          <w:szCs w:val="32"/>
        </w:rPr>
        <w:t>1.</w:t>
      </w:r>
      <w:r>
        <w:rPr>
          <w:rFonts w:eastAsia="仿宋_GB2312"/>
          <w:sz w:val="32"/>
          <w:szCs w:val="32"/>
        </w:rPr>
        <w:t>城乡社区管理事务（款）其他城乡社区管理事务支出（项）。年初预算</w:t>
      </w:r>
      <w:r>
        <w:rPr>
          <w:rFonts w:hint="eastAsia" w:eastAsia="仿宋_GB2312"/>
          <w:sz w:val="32"/>
          <w:szCs w:val="32"/>
        </w:rPr>
        <w:t>0</w:t>
      </w:r>
      <w:r>
        <w:rPr>
          <w:rFonts w:eastAsia="仿宋_GB2312"/>
          <w:sz w:val="32"/>
          <w:szCs w:val="32"/>
        </w:rPr>
        <w:t>万元，支出决算498.04万元，完成年初预算的</w:t>
      </w:r>
      <w:r>
        <w:rPr>
          <w:rFonts w:hint="eastAsia" w:eastAsia="仿宋_GB2312"/>
          <w:sz w:val="32"/>
          <w:szCs w:val="32"/>
        </w:rPr>
        <w:t>100</w:t>
      </w:r>
      <w:r>
        <w:rPr>
          <w:rFonts w:eastAsia="仿宋_GB2312"/>
          <w:sz w:val="32"/>
          <w:szCs w:val="32"/>
        </w:rPr>
        <w:t>%。决算数与年初预算数的差异原因：创建全国无障碍建设示范城市无障碍改造市本级补助资金</w:t>
      </w:r>
      <w:r>
        <w:rPr>
          <w:rFonts w:hint="eastAsia" w:eastAsia="仿宋_GB2312"/>
          <w:sz w:val="32"/>
          <w:szCs w:val="32"/>
        </w:rPr>
        <w:t>项目为年中追加</w:t>
      </w:r>
      <w:r>
        <w:rPr>
          <w:rFonts w:eastAsia="仿宋_GB2312"/>
          <w:sz w:val="32"/>
          <w:szCs w:val="32"/>
        </w:rPr>
        <w:t>预算</w:t>
      </w:r>
      <w:r>
        <w:rPr>
          <w:rFonts w:hint="eastAsia" w:eastAsia="仿宋_GB2312"/>
          <w:sz w:val="32"/>
          <w:szCs w:val="32"/>
        </w:rPr>
        <w:t>，从而</w:t>
      </w:r>
      <w:r>
        <w:rPr>
          <w:rFonts w:eastAsia="仿宋_GB2312"/>
          <w:sz w:val="32"/>
          <w:szCs w:val="32"/>
        </w:rPr>
        <w:t>导致决算数与年初预算数形成差异。</w:t>
      </w:r>
    </w:p>
    <w:p>
      <w:pPr>
        <w:tabs>
          <w:tab w:val="left" w:pos="4275"/>
        </w:tabs>
        <w:autoSpaceDE w:val="0"/>
        <w:autoSpaceDN w:val="0"/>
        <w:adjustRightInd w:val="0"/>
        <w:spacing w:line="560" w:lineRule="exact"/>
        <w:ind w:firstLine="643" w:firstLineChars="200"/>
        <w:rPr>
          <w:rFonts w:ascii="楷体" w:eastAsia="楷体"/>
          <w:b/>
          <w:sz w:val="32"/>
        </w:rPr>
      </w:pPr>
      <w:r>
        <w:rPr>
          <w:rFonts w:ascii="楷体" w:eastAsia="楷体"/>
          <w:b/>
          <w:sz w:val="32"/>
        </w:rPr>
        <w:t>（</w:t>
      </w:r>
      <w:r>
        <w:rPr>
          <w:rFonts w:hint="eastAsia" w:ascii="楷体" w:eastAsia="楷体"/>
          <w:b/>
          <w:sz w:val="32"/>
        </w:rPr>
        <w:t>六</w:t>
      </w:r>
      <w:r>
        <w:rPr>
          <w:rFonts w:ascii="楷体" w:eastAsia="楷体"/>
          <w:b/>
          <w:sz w:val="32"/>
        </w:rPr>
        <w:t>）住房保障支出（类）</w:t>
      </w:r>
    </w:p>
    <w:p>
      <w:pPr>
        <w:widowControl/>
        <w:spacing w:line="560" w:lineRule="exact"/>
        <w:ind w:firstLine="640" w:firstLineChars="200"/>
        <w:jc w:val="left"/>
        <w:rPr>
          <w:rFonts w:eastAsia="仿宋_GB2312"/>
          <w:sz w:val="32"/>
          <w:szCs w:val="32"/>
        </w:rPr>
      </w:pPr>
      <w:r>
        <w:rPr>
          <w:rFonts w:eastAsia="仿宋_GB2312"/>
          <w:sz w:val="32"/>
          <w:szCs w:val="32"/>
        </w:rPr>
        <w:t>住房保障支出（类）决算数为 209.32万元，与年初预算相比减少16.29万元。其中：</w:t>
      </w:r>
    </w:p>
    <w:p>
      <w:pPr>
        <w:widowControl/>
        <w:spacing w:line="560" w:lineRule="exact"/>
        <w:ind w:firstLine="640" w:firstLineChars="200"/>
        <w:jc w:val="left"/>
      </w:pPr>
      <w:r>
        <w:rPr>
          <w:rFonts w:eastAsia="仿宋_GB2312"/>
          <w:sz w:val="32"/>
          <w:szCs w:val="32"/>
        </w:rPr>
        <w:t>1．住房改革支出（款）住房公积金（项）。年初预算225.61万元，支出决算209.32万元，完成年初预算的</w:t>
      </w:r>
      <w:r>
        <w:rPr>
          <w:rFonts w:hint="eastAsia" w:eastAsia="仿宋_GB2312"/>
          <w:sz w:val="32"/>
          <w:szCs w:val="32"/>
        </w:rPr>
        <w:t>92.78</w:t>
      </w:r>
      <w:r>
        <w:rPr>
          <w:rFonts w:eastAsia="仿宋_GB2312"/>
          <w:sz w:val="32"/>
          <w:szCs w:val="32"/>
        </w:rPr>
        <w:t>%。决算数与年初预算数的差异原因：在职人员转退休24人，</w:t>
      </w:r>
      <w:r>
        <w:rPr>
          <w:rFonts w:hint="eastAsia" w:eastAsia="仿宋_GB2312"/>
          <w:sz w:val="32"/>
          <w:szCs w:val="32"/>
        </w:rPr>
        <w:t>导致决算数低于年初预算数</w:t>
      </w:r>
      <w:r>
        <w:rPr>
          <w:rFonts w:eastAsia="仿宋_GB2312"/>
          <w:sz w:val="32"/>
          <w:szCs w:val="32"/>
        </w:rPr>
        <w:t>。</w:t>
      </w:r>
    </w:p>
    <w:p>
      <w:pPr>
        <w:widowControl/>
        <w:spacing w:line="600" w:lineRule="exact"/>
        <w:jc w:val="left"/>
        <w:rPr>
          <w:rFonts w:ascii="黑体" w:eastAsia="黑体"/>
          <w:b/>
          <w:sz w:val="32"/>
        </w:rPr>
      </w:pPr>
      <w:r>
        <w:rPr>
          <w:rFonts w:hint="eastAsia" w:ascii="黑体" w:hAnsi="黑体" w:eastAsia="黑体" w:cs="黑体"/>
          <w:b/>
          <w:bCs/>
          <w:kern w:val="0"/>
          <w:sz w:val="32"/>
          <w:szCs w:val="32"/>
        </w:rPr>
        <w:t xml:space="preserve">    </w:t>
      </w:r>
      <w:r>
        <w:rPr>
          <w:rFonts w:hint="eastAsia" w:ascii="黑体" w:eastAsia="黑体"/>
          <w:b/>
          <w:color w:val="000000"/>
          <w:sz w:val="32"/>
        </w:rPr>
        <w:t>六、一般公共预算财政拨款基本支出决算情况说明</w:t>
      </w:r>
    </w:p>
    <w:p>
      <w:pPr>
        <w:widowControl/>
        <w:spacing w:line="560" w:lineRule="exact"/>
        <w:rPr>
          <w:rFonts w:eastAsia="仿宋_GB2312"/>
          <w:sz w:val="32"/>
          <w:szCs w:val="32"/>
        </w:rPr>
      </w:pP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rPr>
        <w:t xml:space="preserve"> </w:t>
      </w:r>
      <w:r>
        <w:rPr>
          <w:rFonts w:eastAsia="仿宋_GB2312"/>
          <w:sz w:val="32"/>
          <w:szCs w:val="32"/>
        </w:rPr>
        <w:t>内蒙古自治区鄂尔多斯市中心医院（内蒙古自治区超声影像研究所） 2024年度一般公共预算财政拨款基本支出决算 22</w:t>
      </w:r>
      <w:r>
        <w:rPr>
          <w:rFonts w:hint="eastAsia" w:eastAsia="仿宋_GB2312"/>
          <w:sz w:val="32"/>
          <w:szCs w:val="32"/>
        </w:rPr>
        <w:t>,</w:t>
      </w:r>
      <w:r>
        <w:rPr>
          <w:rFonts w:eastAsia="仿宋_GB2312"/>
          <w:sz w:val="32"/>
          <w:szCs w:val="32"/>
        </w:rPr>
        <w:t>372.01万元，其中：</w:t>
      </w:r>
    </w:p>
    <w:p>
      <w:pPr>
        <w:widowControl/>
        <w:spacing w:line="560" w:lineRule="exact"/>
        <w:ind w:firstLine="643" w:firstLineChars="200"/>
        <w:rPr>
          <w:rFonts w:eastAsia="仿宋_GB2312"/>
          <w:sz w:val="32"/>
          <w:szCs w:val="32"/>
        </w:rPr>
      </w:pPr>
      <w:r>
        <w:rPr>
          <w:rFonts w:hint="eastAsia" w:ascii="仿宋_GB2312" w:eastAsia="仿宋_GB2312"/>
          <w:b/>
          <w:sz w:val="32"/>
        </w:rPr>
        <w:t>（一）人员经费 19,833.29万元</w:t>
      </w:r>
      <w:r>
        <w:rPr>
          <w:rFonts w:ascii="仿宋_GB2312" w:hAnsi="仿宋_GB2312" w:eastAsia="仿宋_GB2312" w:cs="仿宋_GB2312"/>
          <w:b/>
          <w:bCs/>
          <w:color w:val="000000"/>
          <w:kern w:val="0"/>
          <w:sz w:val="32"/>
          <w:szCs w:val="32"/>
        </w:rPr>
        <w:t>。</w:t>
      </w:r>
      <w:r>
        <w:rPr>
          <w:rFonts w:eastAsia="仿宋_GB2312"/>
          <w:sz w:val="32"/>
          <w:szCs w:val="32"/>
        </w:rPr>
        <w:t>主要包括：基本工资</w:t>
      </w:r>
      <w:r>
        <w:rPr>
          <w:rFonts w:hint="eastAsia" w:eastAsia="仿宋_GB2312"/>
          <w:sz w:val="32"/>
          <w:szCs w:val="32"/>
        </w:rPr>
        <w:t>756.39万元</w:t>
      </w:r>
      <w:r>
        <w:rPr>
          <w:rFonts w:eastAsia="仿宋_GB2312"/>
          <w:sz w:val="32"/>
          <w:szCs w:val="32"/>
        </w:rPr>
        <w:t>、津贴补贴</w:t>
      </w:r>
      <w:r>
        <w:rPr>
          <w:rFonts w:hint="eastAsia" w:eastAsia="仿宋_GB2312"/>
          <w:sz w:val="32"/>
          <w:szCs w:val="32"/>
        </w:rPr>
        <w:t>359.54万元</w:t>
      </w:r>
      <w:r>
        <w:rPr>
          <w:rFonts w:eastAsia="仿宋_GB2312"/>
          <w:sz w:val="32"/>
          <w:szCs w:val="32"/>
        </w:rPr>
        <w:t>、奖金</w:t>
      </w:r>
      <w:r>
        <w:rPr>
          <w:rFonts w:hint="eastAsia" w:eastAsia="仿宋_GB2312"/>
          <w:sz w:val="32"/>
          <w:szCs w:val="32"/>
        </w:rPr>
        <w:t>135.64万元</w:t>
      </w:r>
      <w:r>
        <w:rPr>
          <w:rFonts w:eastAsia="仿宋_GB2312"/>
          <w:sz w:val="32"/>
          <w:szCs w:val="32"/>
        </w:rPr>
        <w:t>、机关事业单位基本养老保险缴费</w:t>
      </w:r>
      <w:r>
        <w:rPr>
          <w:rFonts w:hint="eastAsia" w:eastAsia="仿宋_GB2312"/>
          <w:sz w:val="32"/>
          <w:szCs w:val="32"/>
        </w:rPr>
        <w:t>219.34万元</w:t>
      </w:r>
      <w:r>
        <w:rPr>
          <w:rFonts w:eastAsia="仿宋_GB2312"/>
          <w:sz w:val="32"/>
          <w:szCs w:val="32"/>
        </w:rPr>
        <w:t>、职工基本医疗保险缴费</w:t>
      </w:r>
      <w:r>
        <w:rPr>
          <w:rFonts w:hint="eastAsia" w:eastAsia="仿宋_GB2312"/>
          <w:sz w:val="32"/>
          <w:szCs w:val="32"/>
        </w:rPr>
        <w:t>82.07万元</w:t>
      </w:r>
      <w:r>
        <w:rPr>
          <w:rFonts w:eastAsia="仿宋_GB2312"/>
          <w:sz w:val="32"/>
          <w:szCs w:val="32"/>
        </w:rPr>
        <w:t>、住房公积金</w:t>
      </w:r>
      <w:r>
        <w:rPr>
          <w:rFonts w:hint="eastAsia" w:eastAsia="仿宋_GB2312"/>
          <w:sz w:val="32"/>
          <w:szCs w:val="32"/>
        </w:rPr>
        <w:t>209.32万元</w:t>
      </w:r>
      <w:r>
        <w:rPr>
          <w:rFonts w:eastAsia="仿宋_GB2312"/>
          <w:sz w:val="32"/>
          <w:szCs w:val="32"/>
        </w:rPr>
        <w:t>、其他工资福利支出</w:t>
      </w:r>
      <w:r>
        <w:rPr>
          <w:rFonts w:hint="eastAsia" w:eastAsia="仿宋_GB2312"/>
          <w:sz w:val="32"/>
          <w:szCs w:val="32"/>
        </w:rPr>
        <w:t>17,432.36万元</w:t>
      </w:r>
      <w:r>
        <w:rPr>
          <w:rFonts w:eastAsia="仿宋_GB2312"/>
          <w:sz w:val="32"/>
          <w:szCs w:val="32"/>
        </w:rPr>
        <w:t>、离休费</w:t>
      </w:r>
      <w:r>
        <w:rPr>
          <w:rFonts w:hint="eastAsia" w:eastAsia="仿宋_GB2312"/>
          <w:sz w:val="32"/>
          <w:szCs w:val="32"/>
        </w:rPr>
        <w:t>16.22万元</w:t>
      </w:r>
      <w:r>
        <w:rPr>
          <w:rFonts w:eastAsia="仿宋_GB2312"/>
          <w:sz w:val="32"/>
          <w:szCs w:val="32"/>
        </w:rPr>
        <w:t>、退休费</w:t>
      </w:r>
      <w:r>
        <w:rPr>
          <w:rFonts w:hint="eastAsia" w:eastAsia="仿宋_GB2312"/>
          <w:sz w:val="32"/>
          <w:szCs w:val="32"/>
        </w:rPr>
        <w:t>406.36万元</w:t>
      </w:r>
      <w:r>
        <w:rPr>
          <w:rFonts w:eastAsia="仿宋_GB2312"/>
          <w:sz w:val="32"/>
          <w:szCs w:val="32"/>
        </w:rPr>
        <w:t>、抚恤金</w:t>
      </w:r>
      <w:r>
        <w:rPr>
          <w:rFonts w:hint="eastAsia" w:eastAsia="仿宋_GB2312"/>
          <w:sz w:val="32"/>
          <w:szCs w:val="32"/>
        </w:rPr>
        <w:t>52.81万元</w:t>
      </w:r>
      <w:r>
        <w:rPr>
          <w:rFonts w:eastAsia="仿宋_GB2312"/>
          <w:sz w:val="32"/>
          <w:szCs w:val="32"/>
        </w:rPr>
        <w:t>、生活补助</w:t>
      </w:r>
      <w:r>
        <w:rPr>
          <w:rFonts w:hint="eastAsia" w:eastAsia="仿宋_GB2312"/>
          <w:sz w:val="32"/>
          <w:szCs w:val="32"/>
        </w:rPr>
        <w:t>6.24万元</w:t>
      </w:r>
      <w:r>
        <w:rPr>
          <w:rFonts w:eastAsia="仿宋_GB2312"/>
          <w:sz w:val="32"/>
          <w:szCs w:val="32"/>
        </w:rPr>
        <w:t>、医疗费补助</w:t>
      </w:r>
      <w:r>
        <w:rPr>
          <w:rFonts w:hint="eastAsia" w:eastAsia="仿宋_GB2312"/>
          <w:sz w:val="32"/>
          <w:szCs w:val="32"/>
        </w:rPr>
        <w:t>157.00万元</w:t>
      </w:r>
      <w:r>
        <w:rPr>
          <w:rFonts w:eastAsia="仿宋_GB2312"/>
          <w:sz w:val="32"/>
          <w:szCs w:val="32"/>
        </w:rPr>
        <w:t>。</w:t>
      </w:r>
    </w:p>
    <w:p>
      <w:pPr>
        <w:widowControl/>
        <w:spacing w:line="560" w:lineRule="exact"/>
        <w:rPr>
          <w:rFonts w:eastAsia="仿宋_GB2312"/>
          <w:sz w:val="32"/>
          <w:szCs w:val="32"/>
        </w:rPr>
      </w:pPr>
      <w:r>
        <w:rPr>
          <w:rFonts w:ascii="仿宋_GB2312" w:hAnsi="仿宋_GB2312" w:eastAsia="仿宋_GB2312" w:cs="仿宋_GB2312"/>
          <w:b/>
          <w:bCs/>
          <w:color w:val="000000"/>
          <w:kern w:val="0"/>
          <w:sz w:val="27"/>
          <w:szCs w:val="27"/>
        </w:rPr>
        <w:t> </w:t>
      </w:r>
      <w:r>
        <w:rPr>
          <w:rFonts w:hint="eastAsia" w:ascii="仿宋_GB2312" w:hAnsi="仿宋_GB2312" w:eastAsia="仿宋_GB2312" w:cs="仿宋_GB2312"/>
          <w:b/>
          <w:bCs/>
          <w:color w:val="000000"/>
          <w:kern w:val="0"/>
          <w:sz w:val="27"/>
          <w:szCs w:val="27"/>
        </w:rPr>
        <w:t xml:space="preserve"> </w:t>
      </w:r>
      <w:r>
        <w:rPr>
          <w:rFonts w:ascii="仿宋_GB2312" w:hAnsi="仿宋_GB2312" w:eastAsia="仿宋_GB2312" w:cs="仿宋_GB2312"/>
          <w:b/>
          <w:bCs/>
          <w:color w:val="000000"/>
          <w:kern w:val="0"/>
          <w:sz w:val="27"/>
          <w:szCs w:val="27"/>
        </w:rPr>
        <w:t xml:space="preserve"> </w:t>
      </w:r>
      <w:r>
        <w:rPr>
          <w:rFonts w:hint="eastAsia" w:ascii="仿宋_GB2312" w:eastAsia="仿宋_GB2312"/>
          <w:b/>
          <w:sz w:val="32"/>
        </w:rPr>
        <w:t>（二）公用经费 2538.72万元</w:t>
      </w:r>
      <w:r>
        <w:rPr>
          <w:rFonts w:ascii="仿宋_GB2312" w:hAnsi="仿宋_GB2312" w:eastAsia="仿宋_GB2312" w:cs="仿宋_GB2312"/>
          <w:color w:val="000000"/>
          <w:kern w:val="0"/>
          <w:sz w:val="32"/>
          <w:szCs w:val="32"/>
        </w:rPr>
        <w:t>。</w:t>
      </w:r>
      <w:r>
        <w:rPr>
          <w:rFonts w:eastAsia="方正楷体_GB2312"/>
          <w:kern w:val="0"/>
          <w:sz w:val="32"/>
          <w:szCs w:val="32"/>
        </w:rPr>
        <w:t>主要</w:t>
      </w:r>
      <w:r>
        <w:rPr>
          <w:rFonts w:eastAsia="仿宋_GB2312"/>
          <w:sz w:val="32"/>
          <w:szCs w:val="32"/>
        </w:rPr>
        <w:t>包括：专用材料费</w:t>
      </w:r>
      <w:r>
        <w:rPr>
          <w:rFonts w:hint="eastAsia" w:eastAsia="仿宋_GB2312"/>
          <w:sz w:val="32"/>
          <w:szCs w:val="32"/>
        </w:rPr>
        <w:t>1595.00万元</w:t>
      </w:r>
      <w:r>
        <w:rPr>
          <w:rFonts w:eastAsia="仿宋_GB2312"/>
          <w:sz w:val="32"/>
          <w:szCs w:val="32"/>
        </w:rPr>
        <w:t>、其他交通费用</w:t>
      </w:r>
      <w:r>
        <w:rPr>
          <w:rFonts w:hint="eastAsia" w:eastAsia="仿宋_GB2312"/>
          <w:sz w:val="32"/>
          <w:szCs w:val="32"/>
        </w:rPr>
        <w:t>943.32万元</w:t>
      </w:r>
      <w:r>
        <w:rPr>
          <w:rFonts w:eastAsia="仿宋_GB2312"/>
          <w:sz w:val="32"/>
          <w:szCs w:val="32"/>
        </w:rPr>
        <w:t>、其他商品和服务支出</w:t>
      </w:r>
      <w:r>
        <w:rPr>
          <w:rFonts w:hint="eastAsia" w:eastAsia="仿宋_GB2312"/>
          <w:sz w:val="32"/>
          <w:szCs w:val="32"/>
        </w:rPr>
        <w:t>0.40万元</w:t>
      </w:r>
      <w:r>
        <w:rPr>
          <w:rFonts w:eastAsia="仿宋_GB2312"/>
          <w:sz w:val="32"/>
          <w:szCs w:val="32"/>
        </w:rPr>
        <w:t>。</w:t>
      </w:r>
    </w:p>
    <w:p>
      <w:pPr>
        <w:widowControl/>
        <w:spacing w:line="600" w:lineRule="exact"/>
        <w:rPr>
          <w:rFonts w:ascii="黑体" w:eastAsia="黑体"/>
          <w:b/>
          <w:color w:val="000000"/>
          <w:sz w:val="32"/>
        </w:rPr>
      </w:pPr>
      <w:r>
        <w:rPr>
          <w:rFonts w:ascii="仿宋_GB2312" w:hAnsi="仿宋_GB2312" w:eastAsia="仿宋_GB2312" w:cs="仿宋_GB2312"/>
          <w:color w:val="0E00FE"/>
          <w:kern w:val="0"/>
          <w:sz w:val="27"/>
          <w:szCs w:val="27"/>
        </w:rPr>
        <w:t>   </w:t>
      </w:r>
      <w:r>
        <w:rPr>
          <w:rFonts w:hint="eastAsia" w:ascii="黑体" w:eastAsia="黑体"/>
          <w:b/>
          <w:color w:val="000000"/>
          <w:sz w:val="32"/>
        </w:rPr>
        <w:t>七、一般公共预算财政拨款项目支出决算情况说明</w:t>
      </w:r>
    </w:p>
    <w:p>
      <w:pPr>
        <w:widowControl/>
        <w:spacing w:line="560" w:lineRule="exact"/>
        <w:ind w:firstLine="640" w:firstLineChars="200"/>
        <w:rPr>
          <w:rFonts w:eastAsia="仿宋_GB2312"/>
          <w:sz w:val="32"/>
          <w:szCs w:val="32"/>
        </w:rPr>
      </w:pPr>
      <w:r>
        <w:rPr>
          <w:rFonts w:eastAsia="仿宋_GB2312"/>
          <w:sz w:val="32"/>
          <w:szCs w:val="32"/>
        </w:rPr>
        <w:t>内蒙古自治区鄂尔多斯市中心医院（内蒙古自治区超声影像研究所） 2024年度一般公共预算财政拨款项目支出决算 19</w:t>
      </w:r>
      <w:r>
        <w:rPr>
          <w:rFonts w:hint="eastAsia" w:eastAsia="仿宋_GB2312"/>
          <w:sz w:val="32"/>
          <w:szCs w:val="32"/>
        </w:rPr>
        <w:t>,</w:t>
      </w:r>
      <w:r>
        <w:rPr>
          <w:rFonts w:eastAsia="仿宋_GB2312"/>
          <w:sz w:val="32"/>
          <w:szCs w:val="32"/>
        </w:rPr>
        <w:t>846.22万元，其中：</w:t>
      </w:r>
    </w:p>
    <w:p>
      <w:pPr>
        <w:widowControl/>
        <w:spacing w:line="560" w:lineRule="exact"/>
        <w:ind w:firstLine="643" w:firstLineChars="200"/>
        <w:rPr>
          <w:rFonts w:ascii="仿宋_GB2312" w:eastAsia="仿宋_GB2312"/>
          <w:b/>
          <w:sz w:val="32"/>
        </w:rPr>
      </w:pPr>
      <w:r>
        <w:rPr>
          <w:rFonts w:hint="eastAsia" w:ascii="仿宋_GB2312" w:eastAsia="仿宋_GB2312"/>
          <w:b/>
          <w:sz w:val="32"/>
        </w:rPr>
        <w:t>（一）工资福利支出0万元。</w:t>
      </w:r>
    </w:p>
    <w:p>
      <w:pPr>
        <w:widowControl/>
        <w:spacing w:line="560" w:lineRule="exact"/>
        <w:ind w:firstLine="643" w:firstLineChars="200"/>
        <w:rPr>
          <w:rFonts w:eastAsia="仿宋_GB2312"/>
          <w:sz w:val="32"/>
          <w:szCs w:val="32"/>
        </w:rPr>
      </w:pPr>
      <w:r>
        <w:rPr>
          <w:rFonts w:hint="eastAsia" w:ascii="仿宋_GB2312" w:eastAsia="仿宋_GB2312"/>
          <w:b/>
          <w:sz w:val="32"/>
        </w:rPr>
        <w:t>（二）商品和服务支出4,176.28万元</w:t>
      </w:r>
      <w:r>
        <w:rPr>
          <w:rFonts w:hint="eastAsia" w:ascii="仿宋_GB2312" w:hAnsi="仿宋_GB2312" w:eastAsia="仿宋_GB2312" w:cs="仿宋_GB2312"/>
          <w:b/>
          <w:bCs/>
          <w:color w:val="000000"/>
          <w:kern w:val="0"/>
          <w:sz w:val="32"/>
          <w:szCs w:val="32"/>
        </w:rPr>
        <w:t>。</w:t>
      </w:r>
      <w:r>
        <w:rPr>
          <w:rFonts w:eastAsia="仿宋_GB2312"/>
          <w:sz w:val="32"/>
          <w:szCs w:val="32"/>
        </w:rPr>
        <w:t>主要包括：办公费</w:t>
      </w:r>
      <w:r>
        <w:rPr>
          <w:rFonts w:hint="eastAsia" w:eastAsia="仿宋_GB2312"/>
          <w:sz w:val="32"/>
          <w:szCs w:val="32"/>
        </w:rPr>
        <w:t>21.34万元</w:t>
      </w:r>
      <w:r>
        <w:rPr>
          <w:rFonts w:eastAsia="仿宋_GB2312"/>
          <w:sz w:val="32"/>
          <w:szCs w:val="32"/>
        </w:rPr>
        <w:t>、印刷费</w:t>
      </w:r>
      <w:r>
        <w:rPr>
          <w:rFonts w:hint="eastAsia" w:eastAsia="仿宋_GB2312"/>
          <w:sz w:val="32"/>
          <w:szCs w:val="32"/>
        </w:rPr>
        <w:t>14.14万元</w:t>
      </w:r>
      <w:r>
        <w:rPr>
          <w:rFonts w:eastAsia="仿宋_GB2312"/>
          <w:sz w:val="32"/>
          <w:szCs w:val="32"/>
        </w:rPr>
        <w:t>、咨询费</w:t>
      </w:r>
      <w:r>
        <w:rPr>
          <w:rFonts w:hint="eastAsia" w:eastAsia="仿宋_GB2312"/>
          <w:sz w:val="32"/>
          <w:szCs w:val="32"/>
        </w:rPr>
        <w:t>11.90万元</w:t>
      </w:r>
      <w:r>
        <w:rPr>
          <w:rFonts w:eastAsia="仿宋_GB2312"/>
          <w:sz w:val="32"/>
          <w:szCs w:val="32"/>
        </w:rPr>
        <w:t>、邮电费</w:t>
      </w:r>
      <w:r>
        <w:rPr>
          <w:rFonts w:hint="eastAsia" w:eastAsia="仿宋_GB2312"/>
          <w:sz w:val="32"/>
          <w:szCs w:val="32"/>
        </w:rPr>
        <w:t>0.50万元</w:t>
      </w:r>
      <w:r>
        <w:rPr>
          <w:rFonts w:eastAsia="仿宋_GB2312"/>
          <w:sz w:val="32"/>
          <w:szCs w:val="32"/>
        </w:rPr>
        <w:t>、差旅费</w:t>
      </w:r>
      <w:r>
        <w:rPr>
          <w:rFonts w:hint="eastAsia" w:eastAsia="仿宋_GB2312"/>
          <w:sz w:val="32"/>
          <w:szCs w:val="32"/>
        </w:rPr>
        <w:t>12.51万元</w:t>
      </w:r>
      <w:r>
        <w:rPr>
          <w:rFonts w:eastAsia="仿宋_GB2312"/>
          <w:sz w:val="32"/>
          <w:szCs w:val="32"/>
        </w:rPr>
        <w:t>、维修（护）费</w:t>
      </w:r>
      <w:r>
        <w:rPr>
          <w:rFonts w:hint="eastAsia" w:eastAsia="仿宋_GB2312"/>
          <w:sz w:val="32"/>
          <w:szCs w:val="32"/>
        </w:rPr>
        <w:t>249.67万元</w:t>
      </w:r>
      <w:r>
        <w:rPr>
          <w:rFonts w:eastAsia="仿宋_GB2312"/>
          <w:sz w:val="32"/>
          <w:szCs w:val="32"/>
        </w:rPr>
        <w:t>、租赁费</w:t>
      </w:r>
      <w:r>
        <w:rPr>
          <w:rFonts w:hint="eastAsia" w:eastAsia="仿宋_GB2312"/>
          <w:sz w:val="32"/>
          <w:szCs w:val="32"/>
        </w:rPr>
        <w:t>13.92万元</w:t>
      </w:r>
      <w:r>
        <w:rPr>
          <w:rFonts w:eastAsia="仿宋_GB2312"/>
          <w:sz w:val="32"/>
          <w:szCs w:val="32"/>
        </w:rPr>
        <w:t>、会议费</w:t>
      </w:r>
      <w:r>
        <w:rPr>
          <w:rFonts w:hint="eastAsia" w:eastAsia="仿宋_GB2312"/>
          <w:sz w:val="32"/>
          <w:szCs w:val="32"/>
        </w:rPr>
        <w:t>58.96万元</w:t>
      </w:r>
      <w:r>
        <w:rPr>
          <w:rFonts w:eastAsia="仿宋_GB2312"/>
          <w:sz w:val="32"/>
          <w:szCs w:val="32"/>
        </w:rPr>
        <w:t>、培训费</w:t>
      </w:r>
      <w:r>
        <w:rPr>
          <w:rFonts w:hint="eastAsia" w:eastAsia="仿宋_GB2312"/>
          <w:sz w:val="32"/>
          <w:szCs w:val="32"/>
        </w:rPr>
        <w:t>231.53万元</w:t>
      </w:r>
      <w:r>
        <w:rPr>
          <w:rFonts w:eastAsia="仿宋_GB2312"/>
          <w:sz w:val="32"/>
          <w:szCs w:val="32"/>
        </w:rPr>
        <w:t>、专用材料费</w:t>
      </w:r>
      <w:r>
        <w:rPr>
          <w:rFonts w:hint="eastAsia" w:eastAsia="仿宋_GB2312"/>
          <w:sz w:val="32"/>
          <w:szCs w:val="32"/>
        </w:rPr>
        <w:t>1,521.14万元</w:t>
      </w:r>
      <w:r>
        <w:rPr>
          <w:rFonts w:eastAsia="仿宋_GB2312"/>
          <w:sz w:val="32"/>
          <w:szCs w:val="32"/>
        </w:rPr>
        <w:t>、劳务费</w:t>
      </w:r>
      <w:r>
        <w:rPr>
          <w:rFonts w:hint="eastAsia" w:eastAsia="仿宋_GB2312"/>
          <w:sz w:val="32"/>
          <w:szCs w:val="32"/>
        </w:rPr>
        <w:t>1,204.27万元</w:t>
      </w:r>
      <w:r>
        <w:rPr>
          <w:rFonts w:eastAsia="仿宋_GB2312"/>
          <w:sz w:val="32"/>
          <w:szCs w:val="32"/>
        </w:rPr>
        <w:t>、委托业务费</w:t>
      </w:r>
      <w:r>
        <w:rPr>
          <w:rFonts w:hint="eastAsia" w:eastAsia="仿宋_GB2312"/>
          <w:sz w:val="32"/>
          <w:szCs w:val="32"/>
        </w:rPr>
        <w:t>105.29万元</w:t>
      </w:r>
      <w:r>
        <w:rPr>
          <w:rFonts w:eastAsia="仿宋_GB2312"/>
          <w:sz w:val="32"/>
          <w:szCs w:val="32"/>
        </w:rPr>
        <w:t>、其他商品和服务支出</w:t>
      </w:r>
      <w:r>
        <w:rPr>
          <w:rFonts w:hint="eastAsia" w:eastAsia="仿宋_GB2312"/>
          <w:sz w:val="32"/>
          <w:szCs w:val="32"/>
        </w:rPr>
        <w:t>731.11万元</w:t>
      </w:r>
      <w:r>
        <w:rPr>
          <w:rFonts w:eastAsia="仿宋_GB2312"/>
          <w:sz w:val="32"/>
          <w:szCs w:val="32"/>
        </w:rPr>
        <w:t>。</w:t>
      </w:r>
    </w:p>
    <w:p>
      <w:pPr>
        <w:widowControl/>
        <w:spacing w:line="560" w:lineRule="exact"/>
        <w:ind w:firstLine="643" w:firstLineChars="200"/>
        <w:rPr>
          <w:rFonts w:eastAsia="仿宋_GB2312"/>
          <w:sz w:val="32"/>
          <w:szCs w:val="32"/>
        </w:rPr>
      </w:pPr>
      <w:r>
        <w:rPr>
          <w:rFonts w:hint="eastAsia" w:ascii="仿宋_GB2312" w:eastAsia="仿宋_GB2312"/>
          <w:b/>
          <w:sz w:val="32"/>
        </w:rPr>
        <w:t>（三）</w:t>
      </w:r>
      <w:r>
        <w:rPr>
          <w:rFonts w:ascii="仿宋_GB2312" w:eastAsia="仿宋_GB2312"/>
          <w:b/>
          <w:sz w:val="32"/>
        </w:rPr>
        <w:t>对个人和家庭的补助1</w:t>
      </w:r>
      <w:r>
        <w:rPr>
          <w:rFonts w:hint="eastAsia" w:ascii="仿宋_GB2312" w:eastAsia="仿宋_GB2312"/>
          <w:b/>
          <w:sz w:val="32"/>
        </w:rPr>
        <w:t>,</w:t>
      </w:r>
      <w:r>
        <w:rPr>
          <w:rFonts w:ascii="仿宋_GB2312" w:eastAsia="仿宋_GB2312"/>
          <w:b/>
          <w:sz w:val="32"/>
        </w:rPr>
        <w:t>834.93万元</w:t>
      </w:r>
      <w:r>
        <w:rPr>
          <w:rFonts w:ascii="仿宋_GB2312" w:hAnsi="仿宋_GB2312" w:eastAsia="仿宋_GB2312" w:cs="仿宋_GB2312"/>
          <w:b/>
          <w:bCs/>
          <w:color w:val="000000"/>
          <w:kern w:val="0"/>
          <w:sz w:val="32"/>
          <w:szCs w:val="32"/>
        </w:rPr>
        <w:t>。</w:t>
      </w:r>
      <w:r>
        <w:rPr>
          <w:rFonts w:eastAsia="仿宋_GB2312"/>
          <w:sz w:val="32"/>
          <w:szCs w:val="32"/>
        </w:rPr>
        <w:t>主要包括： 医疗费补助739.06万元、其他对个人和家庭的补助1</w:t>
      </w:r>
      <w:r>
        <w:rPr>
          <w:rFonts w:hint="eastAsia" w:eastAsia="仿宋_GB2312"/>
          <w:sz w:val="32"/>
          <w:szCs w:val="32"/>
        </w:rPr>
        <w:t>,</w:t>
      </w:r>
      <w:r>
        <w:rPr>
          <w:rFonts w:eastAsia="仿宋_GB2312"/>
          <w:sz w:val="32"/>
          <w:szCs w:val="32"/>
        </w:rPr>
        <w:t>095.87万元。</w:t>
      </w:r>
    </w:p>
    <w:p>
      <w:pPr>
        <w:widowControl/>
        <w:spacing w:line="560" w:lineRule="exact"/>
        <w:rPr>
          <w:rFonts w:eastAsia="Times New Roman"/>
          <w:kern w:val="0"/>
          <w:sz w:val="24"/>
        </w:rPr>
      </w:pPr>
      <w:r>
        <w:rPr>
          <w:rFonts w:ascii="仿宋_GB2312" w:hAnsi="仿宋_GB2312" w:eastAsia="仿宋_GB2312" w:cs="仿宋_GB2312"/>
          <w:b/>
          <w:bCs/>
          <w:color w:val="000000"/>
          <w:kern w:val="0"/>
          <w:sz w:val="27"/>
          <w:szCs w:val="27"/>
        </w:rPr>
        <w:t>   </w:t>
      </w:r>
      <w:r>
        <w:rPr>
          <w:rFonts w:hint="eastAsia" w:ascii="仿宋_GB2312" w:eastAsia="仿宋_GB2312"/>
          <w:b/>
          <w:sz w:val="32"/>
        </w:rPr>
        <w:t>（四）资本性支出 13,835.01万元</w:t>
      </w:r>
      <w:r>
        <w:rPr>
          <w:rFonts w:hint="eastAsia" w:ascii="仿宋_GB2312" w:hAnsi="仿宋_GB2312" w:eastAsia="仿宋_GB2312" w:cs="仿宋_GB2312"/>
          <w:b/>
          <w:bCs/>
          <w:color w:val="000000"/>
          <w:kern w:val="0"/>
          <w:sz w:val="32"/>
          <w:szCs w:val="32"/>
        </w:rPr>
        <w:t>。</w:t>
      </w:r>
      <w:r>
        <w:rPr>
          <w:rFonts w:eastAsia="仿宋_GB2312"/>
          <w:sz w:val="32"/>
          <w:szCs w:val="32"/>
        </w:rPr>
        <w:t>主要包括：办公设备购置</w:t>
      </w:r>
      <w:r>
        <w:rPr>
          <w:rFonts w:hint="eastAsia" w:eastAsia="仿宋_GB2312"/>
          <w:sz w:val="32"/>
          <w:szCs w:val="32"/>
        </w:rPr>
        <w:t>175.33万元</w:t>
      </w:r>
      <w:r>
        <w:rPr>
          <w:rFonts w:eastAsia="仿宋_GB2312"/>
          <w:sz w:val="32"/>
          <w:szCs w:val="32"/>
        </w:rPr>
        <w:t>、专用设备购置</w:t>
      </w:r>
      <w:r>
        <w:rPr>
          <w:rFonts w:hint="eastAsia" w:eastAsia="仿宋_GB2312"/>
          <w:sz w:val="32"/>
          <w:szCs w:val="32"/>
        </w:rPr>
        <w:t>13,117.87万元</w:t>
      </w:r>
      <w:r>
        <w:rPr>
          <w:rFonts w:eastAsia="仿宋_GB2312"/>
          <w:sz w:val="32"/>
          <w:szCs w:val="32"/>
        </w:rPr>
        <w:t>、信息网络及软件购置更新</w:t>
      </w:r>
      <w:r>
        <w:rPr>
          <w:rFonts w:hint="eastAsia" w:eastAsia="仿宋_GB2312"/>
          <w:sz w:val="32"/>
          <w:szCs w:val="32"/>
        </w:rPr>
        <w:t>3.75万元</w:t>
      </w:r>
      <w:r>
        <w:rPr>
          <w:rFonts w:eastAsia="仿宋_GB2312"/>
          <w:sz w:val="32"/>
          <w:szCs w:val="32"/>
        </w:rPr>
        <w:t>、无形资产购置</w:t>
      </w:r>
      <w:r>
        <w:rPr>
          <w:rFonts w:hint="eastAsia" w:eastAsia="仿宋_GB2312"/>
          <w:sz w:val="32"/>
          <w:szCs w:val="32"/>
        </w:rPr>
        <w:t>72.00万元</w:t>
      </w:r>
      <w:r>
        <w:rPr>
          <w:rFonts w:eastAsia="仿宋_GB2312"/>
          <w:sz w:val="32"/>
          <w:szCs w:val="32"/>
        </w:rPr>
        <w:t>、其他资本性支出</w:t>
      </w:r>
      <w:r>
        <w:rPr>
          <w:rFonts w:hint="eastAsia" w:eastAsia="仿宋_GB2312"/>
          <w:sz w:val="32"/>
          <w:szCs w:val="32"/>
        </w:rPr>
        <w:t>466.05万元</w:t>
      </w:r>
      <w:r>
        <w:rPr>
          <w:rFonts w:eastAsia="仿宋_GB2312"/>
          <w:sz w:val="32"/>
          <w:szCs w:val="32"/>
        </w:rPr>
        <w:t>。</w:t>
      </w:r>
    </w:p>
    <w:p>
      <w:pPr>
        <w:widowControl/>
        <w:spacing w:line="600" w:lineRule="exact"/>
        <w:rPr>
          <w:rFonts w:ascii="黑体" w:eastAsia="黑体"/>
          <w:b/>
          <w:color w:val="000000"/>
          <w:sz w:val="32"/>
        </w:rPr>
      </w:pPr>
      <w:r>
        <w:rPr>
          <w:rFonts w:ascii="仿宋_GB2312" w:hAnsi="仿宋_GB2312" w:eastAsia="仿宋_GB2312" w:cs="仿宋_GB2312"/>
          <w:color w:val="0E00FE"/>
          <w:kern w:val="0"/>
          <w:sz w:val="27"/>
          <w:szCs w:val="27"/>
        </w:rPr>
        <w:t xml:space="preserve">  </w:t>
      </w:r>
      <w:r>
        <w:rPr>
          <w:rFonts w:hint="eastAsia" w:ascii="黑体" w:hAnsi="黑体" w:eastAsia="黑体" w:cs="黑体"/>
          <w:b/>
          <w:bCs/>
          <w:kern w:val="0"/>
          <w:sz w:val="32"/>
          <w:szCs w:val="32"/>
        </w:rPr>
        <w:t xml:space="preserve">  </w:t>
      </w:r>
      <w:r>
        <w:rPr>
          <w:rFonts w:hint="eastAsia" w:ascii="黑体" w:eastAsia="黑体"/>
          <w:b/>
          <w:color w:val="000000"/>
          <w:sz w:val="32"/>
        </w:rPr>
        <w:t>八、财政拨款“三公”经费支出决算情况说明</w:t>
      </w:r>
    </w:p>
    <w:p>
      <w:pPr>
        <w:keepNext/>
        <w:keepLines/>
        <w:spacing w:line="560" w:lineRule="exact"/>
        <w:ind w:firstLine="643" w:firstLineChars="200"/>
        <w:rPr>
          <w:rFonts w:eastAsia="方正楷体_GB2312"/>
          <w:kern w:val="0"/>
          <w:sz w:val="32"/>
          <w:szCs w:val="32"/>
        </w:rPr>
      </w:pPr>
      <w:r>
        <w:rPr>
          <w:rFonts w:hint="eastAsia" w:ascii="楷体" w:eastAsia="楷体"/>
          <w:b/>
          <w:sz w:val="32"/>
        </w:rPr>
        <w:t>（一）财政拨款“三公”经费支出总体情况说明。</w:t>
      </w:r>
    </w:p>
    <w:p>
      <w:pPr>
        <w:widowControl/>
        <w:spacing w:line="560" w:lineRule="exact"/>
        <w:rPr>
          <w:rFonts w:eastAsia="Times New Roman"/>
          <w:kern w:val="0"/>
          <w:sz w:val="24"/>
        </w:rPr>
      </w:pPr>
      <w:r>
        <w:rPr>
          <w:rFonts w:ascii="仿宋_GB2312" w:hAnsi="仿宋_GB2312" w:eastAsia="仿宋_GB2312" w:cs="仿宋_GB2312"/>
          <w:kern w:val="0"/>
          <w:sz w:val="27"/>
          <w:szCs w:val="27"/>
        </w:rPr>
        <w:t xml:space="preserve">    </w:t>
      </w:r>
      <w:r>
        <w:rPr>
          <w:rFonts w:eastAsia="仿宋_GB2312"/>
          <w:sz w:val="32"/>
          <w:szCs w:val="32"/>
        </w:rPr>
        <w:t>内蒙古自治区鄂尔多斯市中心医院（内蒙古自治区超声影像研究所） 2024年度财政拨款“三公”经费全年预算 0万元，支出决算 0万元，完成预算的 0%。其中：因公出国（境）费全年预算 0万元，支出决算 0万元，完成预算的 0%；公务用车购置及运行维护费全年预算 0万元，支出决算 0万元，完成预算的 0%；公务接待费全年预算 0万元，支出决算 0万元，完成预算的 0%。2024年度一般公共预算财政拨款“三公”经费全年预算 0万元，支出决算 0万元，与预算差异原因</w:t>
      </w:r>
      <w:r>
        <w:rPr>
          <w:rFonts w:hint="eastAsia" w:eastAsia="仿宋_GB2312"/>
          <w:sz w:val="32"/>
          <w:szCs w:val="32"/>
        </w:rPr>
        <w:t>：</w:t>
      </w:r>
      <w:r>
        <w:rPr>
          <w:rFonts w:eastAsia="仿宋_GB2312"/>
          <w:sz w:val="32"/>
          <w:szCs w:val="32"/>
        </w:rPr>
        <w:t>我单位为差额补助单位，无此项支出。</w:t>
      </w:r>
    </w:p>
    <w:p>
      <w:pPr>
        <w:keepNext/>
        <w:keepLines/>
        <w:numPr>
          <w:ilvl w:val="0"/>
          <w:numId w:val="1"/>
        </w:numPr>
        <w:spacing w:line="560" w:lineRule="exact"/>
        <w:ind w:firstLine="643" w:firstLineChars="200"/>
        <w:rPr>
          <w:rFonts w:ascii="楷体" w:eastAsia="楷体"/>
          <w:b/>
          <w:sz w:val="32"/>
        </w:rPr>
      </w:pPr>
      <w:r>
        <w:rPr>
          <w:rFonts w:ascii="楷体" w:eastAsia="楷体"/>
          <w:b/>
          <w:sz w:val="32"/>
        </w:rPr>
        <w:t>财政拨款“三公”经费支出具体情况说明。</w:t>
      </w:r>
    </w:p>
    <w:p>
      <w:pPr>
        <w:keepNext/>
        <w:keepLines/>
        <w:spacing w:line="560" w:lineRule="exact"/>
        <w:ind w:firstLine="640" w:firstLineChars="200"/>
        <w:rPr>
          <w:rFonts w:eastAsia="仿宋_GB2312"/>
          <w:sz w:val="32"/>
          <w:szCs w:val="32"/>
        </w:rPr>
      </w:pPr>
      <w:r>
        <w:rPr>
          <w:rFonts w:eastAsia="仿宋_GB2312"/>
          <w:sz w:val="32"/>
          <w:szCs w:val="32"/>
        </w:rPr>
        <w:t xml:space="preserve"> 内蒙古自治区鄂尔多斯市中心医院（内蒙古自治区超声影像研究所） 2024年度财政拨款“三公”经费支出 0万元。因公出国（境）费支出 0万元，占 0%；公务用车购置及运行维护费支出 0万元，占 0%；公务接待费支出 0万元，占 0%。其中：</w:t>
      </w:r>
    </w:p>
    <w:p>
      <w:pPr>
        <w:widowControl/>
        <w:spacing w:line="560" w:lineRule="exact"/>
        <w:rPr>
          <w:rFonts w:eastAsia="仿宋_GB2312"/>
          <w:sz w:val="32"/>
          <w:szCs w:val="32"/>
        </w:rPr>
      </w:pPr>
      <w:r>
        <w:rPr>
          <w:rFonts w:eastAsia="仿宋_GB2312"/>
          <w:sz w:val="32"/>
          <w:szCs w:val="32"/>
        </w:rPr>
        <w:t> </w:t>
      </w:r>
      <w:r>
        <w:rPr>
          <w:rFonts w:hint="eastAsia" w:eastAsia="仿宋_GB2312"/>
          <w:sz w:val="32"/>
          <w:szCs w:val="32"/>
        </w:rPr>
        <w:t xml:space="preserve">    </w:t>
      </w:r>
      <w:r>
        <w:rPr>
          <w:rFonts w:eastAsia="仿宋_GB2312"/>
          <w:sz w:val="32"/>
          <w:szCs w:val="32"/>
        </w:rPr>
        <w:t>1.因公出国（境）费支出 0万元，全年出国（境）团组0 个，累计0 人次。与上年决算相比，增加 0万元，增长 0%，变动原因：我单位为差额补助单位，无此项支出。</w:t>
      </w:r>
    </w:p>
    <w:p>
      <w:pPr>
        <w:widowControl/>
        <w:spacing w:line="560" w:lineRule="exact"/>
        <w:rPr>
          <w:rFonts w:eastAsia="仿宋_GB2312"/>
          <w:sz w:val="32"/>
          <w:szCs w:val="32"/>
        </w:rPr>
      </w:pPr>
      <w:r>
        <w:rPr>
          <w:rFonts w:ascii="times_new_roman" w:hAnsi="times_new_roman" w:eastAsia="times_new_roman" w:cs="times_new_roman"/>
          <w:color w:val="000000"/>
          <w:kern w:val="0"/>
          <w:sz w:val="27"/>
          <w:szCs w:val="27"/>
        </w:rPr>
        <w:t>   </w:t>
      </w:r>
      <w:r>
        <w:rPr>
          <w:rFonts w:eastAsia="仿宋_GB2312"/>
          <w:sz w:val="32"/>
          <w:szCs w:val="32"/>
        </w:rPr>
        <w:t>2.公务用车购置及运行维护费支出 0万元。其中：</w:t>
      </w:r>
    </w:p>
    <w:p>
      <w:pPr>
        <w:spacing w:line="560" w:lineRule="exact"/>
        <w:ind w:firstLine="320" w:firstLineChars="100"/>
        <w:rPr>
          <w:rFonts w:eastAsia="仿宋_GB2312"/>
          <w:sz w:val="32"/>
          <w:szCs w:val="32"/>
        </w:rPr>
      </w:pPr>
      <w:r>
        <w:rPr>
          <w:rFonts w:eastAsia="仿宋_GB2312"/>
          <w:sz w:val="32"/>
          <w:szCs w:val="32"/>
        </w:rPr>
        <w:t> </w:t>
      </w:r>
      <w:r>
        <w:rPr>
          <w:rFonts w:hint="eastAsia" w:eastAsia="仿宋_GB2312"/>
          <w:sz w:val="32"/>
          <w:szCs w:val="32"/>
        </w:rPr>
        <w:t xml:space="preserve"> </w:t>
      </w:r>
      <w:r>
        <w:rPr>
          <w:rFonts w:eastAsia="仿宋_GB2312"/>
          <w:sz w:val="32"/>
          <w:szCs w:val="32"/>
        </w:rPr>
        <w:t>（1）公务用车购置支出 0万元。本年度使用财政拨款购置公务用车0 辆，开支内容：无支出。与上年决算相比，增加 0万元，增长 0%，变动原因：我单位为差额补助单位，无此项支出。</w:t>
      </w:r>
    </w:p>
    <w:p>
      <w:pPr>
        <w:spacing w:line="560" w:lineRule="exact"/>
        <w:ind w:firstLine="320" w:firstLineChars="100"/>
        <w:rPr>
          <w:rFonts w:eastAsia="仿宋_GB2312"/>
          <w:sz w:val="32"/>
          <w:szCs w:val="32"/>
        </w:rPr>
      </w:pPr>
      <w:r>
        <w:rPr>
          <w:rFonts w:eastAsia="仿宋_GB2312"/>
          <w:sz w:val="32"/>
          <w:szCs w:val="32"/>
        </w:rPr>
        <w:t>  （2）公务用车运行维护费支出 0万元。公务用车运行维护费主要用于按规定保留的公务用车的燃料费、维修费、过桥过路费、保险费、安全奖励费用等支出。截至2024年12月31日，使用财政拨款开支的公务用车保有量为0 辆。与上年决算相比，增加 0万元，增长0%，变动原因：我单位为差额补助单位，无此项支出。</w:t>
      </w:r>
    </w:p>
    <w:p>
      <w:pPr>
        <w:widowControl/>
        <w:spacing w:line="560" w:lineRule="exact"/>
        <w:rPr>
          <w:rFonts w:ascii="黑体" w:hAnsi="黑体" w:eastAsia="黑体" w:cs="黑体"/>
          <w:b/>
          <w:bCs/>
          <w:kern w:val="0"/>
          <w:sz w:val="32"/>
          <w:szCs w:val="32"/>
        </w:rPr>
      </w:pPr>
      <w:r>
        <w:rPr>
          <w:rFonts w:hint="eastAsia" w:eastAsia="仿宋_GB2312"/>
          <w:sz w:val="32"/>
          <w:szCs w:val="32"/>
        </w:rPr>
        <w:t xml:space="preserve">    </w:t>
      </w:r>
      <w:r>
        <w:rPr>
          <w:rFonts w:eastAsia="仿宋_GB2312"/>
          <w:sz w:val="32"/>
          <w:szCs w:val="32"/>
        </w:rPr>
        <w:t>3.公务接待费支出 0万元。其中：国内公务接待支出 0万元，接待0 批次，0 人次，开支内容：无支出；国（境）外公务接待支出 0万元，接待0 批次，0 人次，开支内容：无支出。与上年决算相比，增加 0万元，增长 0%，变动原因：我单位为差额补助单位，无此项支出。</w:t>
      </w:r>
    </w:p>
    <w:p>
      <w:pPr>
        <w:widowControl/>
        <w:tabs>
          <w:tab w:val="left" w:pos="8579"/>
        </w:tabs>
        <w:spacing w:line="600" w:lineRule="exact"/>
        <w:ind w:firstLine="643" w:firstLineChars="200"/>
        <w:rPr>
          <w:rFonts w:ascii="黑体" w:hAnsi="黑体" w:eastAsia="黑体" w:cs="黑体"/>
          <w:color w:val="000000" w:themeColor="text1"/>
          <w:kern w:val="0"/>
          <w:sz w:val="32"/>
          <w:szCs w:val="32"/>
        </w:rPr>
      </w:pPr>
      <w:r>
        <w:rPr>
          <w:rFonts w:hint="eastAsia" w:ascii="黑体" w:eastAsia="黑体"/>
          <w:b/>
          <w:color w:val="000000"/>
          <w:sz w:val="32"/>
        </w:rPr>
        <w:t>九、政府性基金预算财政拨款支出决算情况说明</w:t>
      </w:r>
      <w:r>
        <w:rPr>
          <w:rFonts w:hint="eastAsia" w:ascii="黑体" w:eastAsia="黑体"/>
          <w:b/>
          <w:color w:val="000000"/>
          <w:sz w:val="32"/>
        </w:rPr>
        <w:tab/>
      </w:r>
    </w:p>
    <w:p>
      <w:pPr>
        <w:widowControl/>
        <w:spacing w:line="560" w:lineRule="exact"/>
        <w:rPr>
          <w:rFonts w:eastAsia="Times New Roman"/>
          <w:kern w:val="0"/>
          <w:sz w:val="24"/>
        </w:rPr>
      </w:pPr>
      <w:r>
        <w:rPr>
          <w:rFonts w:ascii="仿宋_GB2312" w:hAnsi="仿宋_GB2312" w:eastAsia="仿宋_GB2312" w:cs="仿宋_GB2312"/>
          <w:color w:val="0E00FE"/>
          <w:kern w:val="0"/>
          <w:sz w:val="27"/>
          <w:szCs w:val="27"/>
        </w:rPr>
        <w:t>   </w:t>
      </w:r>
      <w:r>
        <w:rPr>
          <w:rFonts w:eastAsia="仿宋_GB2312"/>
          <w:sz w:val="32"/>
          <w:szCs w:val="32"/>
        </w:rPr>
        <w:t>内蒙古自治区鄂尔多斯市中心医院（内蒙古自治区超声影像研究所） 2024年度政府性基金预算财政拨款支出决算 0万元。与上年决算相比，增加 0万元，增长 0%，变动原因：本年无政府性基金预算财政拨款收、支、余。</w:t>
      </w:r>
    </w:p>
    <w:p>
      <w:pPr>
        <w:widowControl/>
        <w:spacing w:line="600" w:lineRule="exact"/>
        <w:rPr>
          <w:rFonts w:ascii="黑体" w:eastAsia="黑体"/>
          <w:b/>
          <w:color w:val="000000"/>
          <w:sz w:val="32"/>
        </w:rPr>
      </w:pPr>
      <w:r>
        <w:rPr>
          <w:rFonts w:hint="eastAsia" w:ascii="黑体" w:hAnsi="黑体" w:eastAsia="黑体" w:cs="黑体"/>
          <w:color w:val="000000" w:themeColor="text1"/>
          <w:kern w:val="0"/>
          <w:sz w:val="32"/>
          <w:szCs w:val="32"/>
        </w:rPr>
        <w:t xml:space="preserve">   </w:t>
      </w:r>
      <w:r>
        <w:rPr>
          <w:rFonts w:hint="eastAsia" w:ascii="黑体" w:eastAsia="黑体"/>
          <w:b/>
          <w:color w:val="000000"/>
          <w:sz w:val="32"/>
        </w:rPr>
        <w:t>十、国有资本经营预算财政拨款支出决算情况说明</w:t>
      </w:r>
    </w:p>
    <w:p>
      <w:pPr>
        <w:widowControl/>
        <w:spacing w:line="560" w:lineRule="exact"/>
        <w:rPr>
          <w:rFonts w:eastAsia="仿宋_GB2312"/>
          <w:sz w:val="32"/>
          <w:szCs w:val="32"/>
        </w:rPr>
      </w:pPr>
      <w:r>
        <w:rPr>
          <w:rFonts w:ascii="仿宋_GB2312" w:hAnsi="仿宋_GB2312" w:eastAsia="仿宋_GB2312" w:cs="仿宋_GB2312"/>
          <w:kern w:val="0"/>
          <w:sz w:val="27"/>
          <w:szCs w:val="27"/>
        </w:rPr>
        <w:t>   </w:t>
      </w:r>
      <w:r>
        <w:rPr>
          <w:rFonts w:eastAsia="仿宋_GB2312"/>
          <w:sz w:val="32"/>
          <w:szCs w:val="32"/>
        </w:rPr>
        <w:t>内蒙古自治区鄂尔多斯市中心医院（内蒙古自治区超声影像研究所） 2024年度国有资本经营预算财政拨款支出决算 0万元。与上年决算相比，增加 0万元，增长 0%，变动原因：本年无国有资本经营预算财政拨款收、支、余。</w:t>
      </w:r>
    </w:p>
    <w:p>
      <w:pPr>
        <w:widowControl/>
        <w:spacing w:line="600" w:lineRule="exact"/>
        <w:rPr>
          <w:rFonts w:eastAsia="Times New Roman"/>
          <w:kern w:val="0"/>
          <w:sz w:val="24"/>
        </w:rPr>
      </w:pPr>
      <w:r>
        <w:rPr>
          <w:rFonts w:ascii="仿宋_GB2312" w:hAnsi="仿宋_GB2312" w:eastAsia="仿宋_GB2312" w:cs="仿宋_GB2312"/>
          <w:kern w:val="0"/>
          <w:sz w:val="27"/>
          <w:szCs w:val="27"/>
        </w:rPr>
        <w:t> </w:t>
      </w:r>
      <w:r>
        <w:rPr>
          <w:rFonts w:hint="eastAsia" w:ascii="仿宋_GB2312" w:hAnsi="仿宋_GB2312" w:eastAsia="仿宋_GB2312" w:cs="仿宋_GB2312"/>
          <w:kern w:val="0"/>
          <w:sz w:val="27"/>
          <w:szCs w:val="27"/>
        </w:rPr>
        <w:t xml:space="preserve">   </w:t>
      </w:r>
      <w:r>
        <w:rPr>
          <w:rFonts w:hint="eastAsia" w:ascii="黑体" w:eastAsia="黑体"/>
          <w:b/>
          <w:color w:val="000000"/>
          <w:sz w:val="32"/>
        </w:rPr>
        <w:t>十一、公用经费支出决算情况说明</w:t>
      </w:r>
    </w:p>
    <w:p>
      <w:pPr>
        <w:widowControl/>
        <w:spacing w:line="560" w:lineRule="exact"/>
        <w:ind w:firstLine="640" w:firstLineChars="200"/>
        <w:rPr>
          <w:rFonts w:eastAsia="仿宋_GB2312"/>
          <w:sz w:val="32"/>
          <w:szCs w:val="32"/>
        </w:rPr>
      </w:pPr>
      <w:r>
        <w:rPr>
          <w:rFonts w:eastAsia="仿宋_GB2312"/>
          <w:sz w:val="32"/>
          <w:szCs w:val="32"/>
        </w:rPr>
        <w:t>内蒙古自治区鄂尔多斯市中心医院（内蒙古自治区超声影像研究所） 2024年度公用经费支出决算 92</w:t>
      </w:r>
      <w:r>
        <w:rPr>
          <w:rFonts w:hint="eastAsia" w:eastAsia="仿宋_GB2312"/>
          <w:sz w:val="32"/>
          <w:szCs w:val="32"/>
        </w:rPr>
        <w:t>,</w:t>
      </w:r>
      <w:r>
        <w:rPr>
          <w:rFonts w:eastAsia="仿宋_GB2312"/>
          <w:sz w:val="32"/>
          <w:szCs w:val="32"/>
        </w:rPr>
        <w:t>545.57万元，与上年决算相比减少 14</w:t>
      </w:r>
      <w:r>
        <w:rPr>
          <w:rFonts w:hint="eastAsia" w:eastAsia="仿宋_GB2312"/>
          <w:sz w:val="32"/>
          <w:szCs w:val="32"/>
        </w:rPr>
        <w:t>,</w:t>
      </w:r>
      <w:r>
        <w:rPr>
          <w:rFonts w:eastAsia="仿宋_GB2312"/>
          <w:sz w:val="32"/>
          <w:szCs w:val="32"/>
        </w:rPr>
        <w:t>329.44万元，下降 13.41%，变动原因：</w:t>
      </w:r>
      <w:r>
        <w:rPr>
          <w:rFonts w:hint="eastAsia" w:eastAsia="仿宋_GB2312"/>
          <w:sz w:val="32"/>
          <w:szCs w:val="32"/>
        </w:rPr>
        <w:t>本年度设备购置、专用材料购置较上年下降</w:t>
      </w:r>
      <w:r>
        <w:rPr>
          <w:rFonts w:eastAsia="仿宋_GB2312"/>
          <w:sz w:val="32"/>
          <w:szCs w:val="32"/>
        </w:rPr>
        <w:t>。</w:t>
      </w:r>
    </w:p>
    <w:p>
      <w:pPr>
        <w:widowControl/>
        <w:spacing w:line="600" w:lineRule="exact"/>
        <w:rPr>
          <w:rFonts w:ascii="黑体" w:eastAsia="黑体"/>
          <w:b/>
          <w:color w:val="000000"/>
          <w:sz w:val="32"/>
        </w:rPr>
      </w:pPr>
      <w:r>
        <w:rPr>
          <w:rFonts w:ascii="仿宋_GB2312" w:hAnsi="仿宋_GB2312" w:eastAsia="仿宋_GB2312" w:cs="仿宋_GB2312"/>
          <w:color w:val="1200FF"/>
          <w:kern w:val="0"/>
          <w:sz w:val="27"/>
          <w:szCs w:val="27"/>
        </w:rPr>
        <w:t> </w:t>
      </w:r>
      <w:r>
        <w:rPr>
          <w:rFonts w:hint="eastAsia" w:ascii="黑体" w:hAnsi="黑体" w:eastAsia="黑体" w:cs="黑体"/>
          <w:color w:val="000000" w:themeColor="text1"/>
          <w:kern w:val="0"/>
          <w:sz w:val="32"/>
          <w:szCs w:val="32"/>
        </w:rPr>
        <w:t xml:space="preserve">   </w:t>
      </w:r>
      <w:r>
        <w:rPr>
          <w:rFonts w:hint="eastAsia" w:ascii="黑体" w:eastAsia="黑体"/>
          <w:b/>
          <w:color w:val="000000"/>
          <w:sz w:val="32"/>
        </w:rPr>
        <w:t>十二、政府采购支出决算情况说明</w:t>
      </w:r>
    </w:p>
    <w:p>
      <w:pPr>
        <w:widowControl/>
        <w:spacing w:line="560" w:lineRule="exact"/>
        <w:ind w:firstLine="640" w:firstLineChars="200"/>
        <w:rPr>
          <w:rFonts w:eastAsia="仿宋_GB2312"/>
          <w:color w:val="000000" w:themeColor="text1"/>
          <w:sz w:val="32"/>
          <w:szCs w:val="32"/>
        </w:rPr>
      </w:pPr>
      <w:r>
        <w:rPr>
          <w:rFonts w:eastAsia="仿宋_GB2312"/>
          <w:color w:val="000000" w:themeColor="text1"/>
          <w:sz w:val="32"/>
          <w:szCs w:val="32"/>
        </w:rPr>
        <w:t>内蒙古自治区鄂尔多斯市中心医院（内蒙古自治区超声影像研究所） 2024年度政府采购支出总额 16</w:t>
      </w:r>
      <w:r>
        <w:rPr>
          <w:rFonts w:hint="eastAsia" w:eastAsia="仿宋_GB2312"/>
          <w:color w:val="000000" w:themeColor="text1"/>
          <w:sz w:val="32"/>
          <w:szCs w:val="32"/>
        </w:rPr>
        <w:t>,</w:t>
      </w:r>
      <w:r>
        <w:rPr>
          <w:rFonts w:eastAsia="仿宋_GB2312"/>
          <w:color w:val="000000" w:themeColor="text1"/>
          <w:sz w:val="32"/>
          <w:szCs w:val="32"/>
        </w:rPr>
        <w:t>140.19万元，其中：政府采购货物支出 15</w:t>
      </w:r>
      <w:r>
        <w:rPr>
          <w:rFonts w:hint="eastAsia" w:eastAsia="仿宋_GB2312"/>
          <w:color w:val="000000" w:themeColor="text1"/>
          <w:sz w:val="32"/>
          <w:szCs w:val="32"/>
        </w:rPr>
        <w:t>,</w:t>
      </w:r>
      <w:r>
        <w:rPr>
          <w:rFonts w:eastAsia="仿宋_GB2312"/>
          <w:color w:val="000000" w:themeColor="text1"/>
          <w:sz w:val="32"/>
          <w:szCs w:val="32"/>
        </w:rPr>
        <w:t>508.28万元、政府采购工程支出 590.24万元、政府采购服务支出 41.68万元。政府采购授予中小企业合同金额 3</w:t>
      </w:r>
      <w:r>
        <w:rPr>
          <w:rFonts w:hint="eastAsia" w:eastAsia="仿宋_GB2312"/>
          <w:color w:val="000000" w:themeColor="text1"/>
          <w:sz w:val="32"/>
          <w:szCs w:val="32"/>
        </w:rPr>
        <w:t>,</w:t>
      </w:r>
      <w:r>
        <w:rPr>
          <w:rFonts w:eastAsia="仿宋_GB2312"/>
          <w:color w:val="000000" w:themeColor="text1"/>
          <w:sz w:val="32"/>
          <w:szCs w:val="32"/>
        </w:rPr>
        <w:t>346.82万元，占政府采购支出总额的</w:t>
      </w:r>
      <w:r>
        <w:rPr>
          <w:rFonts w:hint="eastAsia" w:eastAsia="仿宋_GB2312"/>
          <w:color w:val="000000" w:themeColor="text1"/>
          <w:sz w:val="32"/>
          <w:szCs w:val="32"/>
        </w:rPr>
        <w:t>20</w:t>
      </w:r>
      <w:r>
        <w:rPr>
          <w:rFonts w:eastAsia="仿宋_GB2312"/>
          <w:color w:val="000000" w:themeColor="text1"/>
          <w:sz w:val="32"/>
          <w:szCs w:val="32"/>
        </w:rPr>
        <w:t>.</w:t>
      </w:r>
      <w:r>
        <w:rPr>
          <w:rFonts w:hint="eastAsia" w:eastAsia="仿宋_GB2312"/>
          <w:color w:val="000000" w:themeColor="text1"/>
          <w:sz w:val="32"/>
          <w:szCs w:val="32"/>
        </w:rPr>
        <w:t>74</w:t>
      </w:r>
      <w:r>
        <w:rPr>
          <w:rFonts w:eastAsia="仿宋_GB2312"/>
          <w:color w:val="000000" w:themeColor="text1"/>
          <w:sz w:val="32"/>
          <w:szCs w:val="32"/>
        </w:rPr>
        <w:t>%，其中：授予小微企业合同金额  3</w:t>
      </w:r>
      <w:r>
        <w:rPr>
          <w:rFonts w:hint="eastAsia" w:eastAsia="仿宋_GB2312"/>
          <w:color w:val="000000" w:themeColor="text1"/>
          <w:sz w:val="32"/>
          <w:szCs w:val="32"/>
        </w:rPr>
        <w:t>,</w:t>
      </w:r>
      <w:r>
        <w:rPr>
          <w:rFonts w:eastAsia="仿宋_GB2312"/>
          <w:color w:val="000000" w:themeColor="text1"/>
          <w:sz w:val="32"/>
          <w:szCs w:val="32"/>
        </w:rPr>
        <w:t>346.60万元，占政府采购支出总额的</w:t>
      </w:r>
      <w:r>
        <w:rPr>
          <w:rFonts w:hint="eastAsia" w:eastAsia="仿宋_GB2312"/>
          <w:color w:val="000000" w:themeColor="text1"/>
          <w:sz w:val="32"/>
          <w:szCs w:val="32"/>
        </w:rPr>
        <w:t>20.73</w:t>
      </w:r>
      <w:r>
        <w:rPr>
          <w:rFonts w:eastAsia="仿宋_GB2312"/>
          <w:color w:val="000000" w:themeColor="text1"/>
          <w:sz w:val="32"/>
          <w:szCs w:val="32"/>
        </w:rPr>
        <w:t>%；货物采购授予中小企业合同金额占货物支出金额的</w:t>
      </w:r>
      <w:r>
        <w:rPr>
          <w:rFonts w:hint="eastAsia" w:eastAsia="仿宋_GB2312"/>
          <w:color w:val="000000" w:themeColor="text1"/>
          <w:sz w:val="32"/>
          <w:szCs w:val="32"/>
        </w:rPr>
        <w:t>2.92</w:t>
      </w:r>
      <w:r>
        <w:rPr>
          <w:rFonts w:eastAsia="仿宋_GB2312"/>
          <w:color w:val="000000" w:themeColor="text1"/>
          <w:sz w:val="32"/>
          <w:szCs w:val="32"/>
        </w:rPr>
        <w:t>%，工程采购授予中小企业合同金额占工程支出金额的</w:t>
      </w:r>
      <w:r>
        <w:rPr>
          <w:rFonts w:hint="eastAsia" w:eastAsia="仿宋_GB2312"/>
          <w:color w:val="000000" w:themeColor="text1"/>
          <w:sz w:val="32"/>
          <w:szCs w:val="32"/>
        </w:rPr>
        <w:t>37.27</w:t>
      </w:r>
      <w:r>
        <w:rPr>
          <w:rFonts w:eastAsia="仿宋_GB2312"/>
          <w:color w:val="000000" w:themeColor="text1"/>
          <w:sz w:val="32"/>
          <w:szCs w:val="32"/>
        </w:rPr>
        <w:t>%，服务采购授予中小企业合同金额占服务支出金额的</w:t>
      </w:r>
      <w:r>
        <w:rPr>
          <w:rFonts w:hint="eastAsia" w:eastAsia="仿宋_GB2312"/>
          <w:color w:val="000000" w:themeColor="text1"/>
          <w:sz w:val="32"/>
          <w:szCs w:val="32"/>
        </w:rPr>
        <w:t>51.78</w:t>
      </w:r>
      <w:r>
        <w:rPr>
          <w:rFonts w:eastAsia="仿宋_GB2312"/>
          <w:color w:val="000000" w:themeColor="text1"/>
          <w:sz w:val="32"/>
          <w:szCs w:val="32"/>
        </w:rPr>
        <w:t>%。</w:t>
      </w:r>
    </w:p>
    <w:p>
      <w:pPr>
        <w:widowControl/>
        <w:spacing w:line="600" w:lineRule="exact"/>
        <w:jc w:val="left"/>
        <w:rPr>
          <w:rFonts w:ascii="黑体" w:eastAsia="黑体"/>
          <w:b/>
          <w:color w:val="000000"/>
          <w:sz w:val="32"/>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hint="eastAsia" w:ascii="黑体" w:hAnsi="黑体" w:eastAsia="黑体" w:cs="黑体"/>
          <w:color w:val="000000" w:themeColor="text1"/>
          <w:kern w:val="0"/>
          <w:sz w:val="32"/>
          <w:szCs w:val="32"/>
        </w:rPr>
        <w:t xml:space="preserve">   </w:t>
      </w:r>
      <w:r>
        <w:rPr>
          <w:rFonts w:hint="eastAsia" w:ascii="黑体" w:eastAsia="黑体"/>
          <w:b/>
          <w:color w:val="000000"/>
          <w:sz w:val="32"/>
        </w:rPr>
        <w:t>十三、国有资产占用情况说明</w:t>
      </w:r>
    </w:p>
    <w:p>
      <w:pPr>
        <w:widowControl/>
        <w:spacing w:line="560" w:lineRule="exact"/>
        <w:ind w:firstLine="640" w:firstLineChars="200"/>
        <w:rPr>
          <w:rFonts w:eastAsia="仿宋_GB2312"/>
          <w:color w:val="000000" w:themeColor="text1"/>
          <w:sz w:val="32"/>
          <w:szCs w:val="32"/>
        </w:rPr>
      </w:pPr>
      <w:r>
        <w:rPr>
          <w:rFonts w:eastAsia="仿宋_GB2312"/>
          <w:color w:val="000000" w:themeColor="text1"/>
          <w:sz w:val="32"/>
          <w:szCs w:val="32"/>
        </w:rPr>
        <w:t>内蒙古自治区鄂尔多斯市中心医院（内蒙古自治区超声影像研究所） 截至2024年12月31日，本</w:t>
      </w:r>
      <w:r>
        <w:rPr>
          <w:rFonts w:hint="eastAsia" w:eastAsia="仿宋_GB2312"/>
          <w:color w:val="000000" w:themeColor="text1"/>
          <w:sz w:val="32"/>
          <w:szCs w:val="32"/>
        </w:rPr>
        <w:t>单位</w:t>
      </w:r>
      <w:r>
        <w:rPr>
          <w:rFonts w:eastAsia="仿宋_GB2312"/>
          <w:color w:val="000000" w:themeColor="text1"/>
          <w:sz w:val="32"/>
          <w:szCs w:val="32"/>
        </w:rPr>
        <w:t>共有车辆 16辆，其中：副部（省）级及以上领导用车0 辆、主要负责人用车 0辆、机要通信用车 0辆、应急保障用车 0辆、执法执勤用车 0辆、特种专业技术用车 8辆、离退休干部服务用车 0辆，其他用车 8辆；单价100万元（含）以上的设备（不含车辆） 230台（套）。</w:t>
      </w:r>
    </w:p>
    <w:p>
      <w:pPr>
        <w:widowControl/>
        <w:spacing w:line="600" w:lineRule="exact"/>
        <w:rPr>
          <w:rFonts w:ascii="黑体" w:eastAsia="黑体"/>
          <w:b/>
          <w:color w:val="000000"/>
          <w:sz w:val="32"/>
        </w:rPr>
      </w:pPr>
      <w:r>
        <w:rPr>
          <w:rFonts w:ascii="仿宋_GB2312" w:hAnsi="仿宋_GB2312" w:eastAsia="仿宋_GB2312" w:cs="仿宋_GB2312"/>
          <w:color w:val="0E00FE"/>
          <w:kern w:val="0"/>
          <w:sz w:val="27"/>
          <w:szCs w:val="27"/>
        </w:rPr>
        <w:t>   </w:t>
      </w:r>
      <w:r>
        <w:rPr>
          <w:rFonts w:ascii="Calibri" w:hAnsi="Calibri" w:eastAsia="Calibri" w:cs="Calibri"/>
          <w:b/>
          <w:bCs/>
          <w:kern w:val="0"/>
          <w:sz w:val="27"/>
          <w:szCs w:val="27"/>
        </w:rPr>
        <w:t> </w:t>
      </w:r>
      <w:r>
        <w:rPr>
          <w:rFonts w:hint="eastAsia" w:ascii="黑体" w:eastAsia="黑体"/>
          <w:b/>
          <w:color w:val="000000"/>
          <w:sz w:val="32"/>
        </w:rPr>
        <w:t>十四、预算绩效情况说明</w:t>
      </w:r>
    </w:p>
    <w:p>
      <w:pPr>
        <w:ind w:firstLine="482" w:firstLineChars="150"/>
        <w:rPr>
          <w:rFonts w:ascii="楷体" w:hAnsi="楷体" w:eastAsia="楷体" w:cs="楷体"/>
          <w:b/>
          <w:bCs/>
          <w:sz w:val="32"/>
          <w:szCs w:val="32"/>
        </w:rPr>
      </w:pPr>
      <w:r>
        <w:rPr>
          <w:rFonts w:hint="eastAsia" w:ascii="楷体" w:eastAsia="楷体"/>
          <w:b/>
          <w:sz w:val="32"/>
        </w:rPr>
        <w:t>（一）预算绩效管理工作开展情况。</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我单位根据预算绩效管理要求组织对2024年一般公共预算项目支出全面开展绩效自评，共有项目108</w:t>
      </w:r>
      <w:r>
        <w:rPr>
          <w:rFonts w:ascii="仿宋_GB2312" w:eastAsia="仿宋_GB2312" w:hAnsiTheme="majorEastAsia" w:cstheme="majorEastAsia"/>
          <w:color w:val="000000" w:themeColor="text1"/>
          <w:kern w:val="0"/>
          <w:sz w:val="32"/>
          <w:szCs w:val="32"/>
        </w:rPr>
        <w:t xml:space="preserve"> </w:t>
      </w:r>
      <w:r>
        <w:rPr>
          <w:rFonts w:hint="eastAsia" w:ascii="仿宋_GB2312" w:eastAsia="仿宋_GB2312" w:hAnsiTheme="majorEastAsia" w:cstheme="majorEastAsia"/>
          <w:color w:val="000000" w:themeColor="text1"/>
          <w:kern w:val="0"/>
          <w:sz w:val="32"/>
          <w:szCs w:val="32"/>
        </w:rPr>
        <w:t>个，共涉及资金19,846.22万元，占一般公共预算项目支出总额的</w:t>
      </w:r>
      <w:r>
        <w:rPr>
          <w:rFonts w:ascii="仿宋_GB2312" w:eastAsia="仿宋_GB2312" w:hAnsiTheme="majorEastAsia" w:cstheme="majorEastAsia"/>
          <w:color w:val="000000" w:themeColor="text1"/>
          <w:kern w:val="0"/>
          <w:sz w:val="32"/>
          <w:szCs w:val="32"/>
        </w:rPr>
        <w:t>100</w:t>
      </w:r>
      <w:r>
        <w:rPr>
          <w:rFonts w:hint="eastAsia" w:ascii="仿宋_GB2312" w:eastAsia="仿宋_GB2312" w:hAnsiTheme="majorEastAsia" w:cstheme="majorEastAsia"/>
          <w:color w:val="000000" w:themeColor="text1"/>
          <w:kern w:val="0"/>
          <w:sz w:val="32"/>
          <w:szCs w:val="32"/>
        </w:rPr>
        <w:t>%；政府性基金预算项目0个，共涉及资金0万元，占应纳入绩效自评的政府性基金预算项目支出总额的0%。</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我单位未开展重点绩效评价工作。</w:t>
      </w:r>
    </w:p>
    <w:p>
      <w:pPr>
        <w:ind w:firstLine="482" w:firstLineChars="150"/>
        <w:rPr>
          <w:rFonts w:ascii="楷体" w:eastAsia="楷体"/>
          <w:b/>
          <w:sz w:val="32"/>
        </w:rPr>
      </w:pPr>
      <w:r>
        <w:rPr>
          <w:rFonts w:hint="eastAsia" w:ascii="楷体" w:eastAsia="楷体"/>
          <w:b/>
          <w:sz w:val="32"/>
        </w:rPr>
        <w:t>（二）单位决算中项目绩效自评结果。</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我单位2024年度在决算中反映</w:t>
      </w:r>
      <w:r>
        <w:rPr>
          <w:rFonts w:ascii="仿宋_GB2312" w:eastAsia="仿宋_GB2312" w:hAnsiTheme="majorEastAsia" w:cstheme="majorEastAsia"/>
          <w:color w:val="000000" w:themeColor="text1"/>
          <w:kern w:val="0"/>
          <w:sz w:val="32"/>
          <w:szCs w:val="32"/>
        </w:rPr>
        <w:t>5</w:t>
      </w:r>
      <w:r>
        <w:rPr>
          <w:rFonts w:hint="eastAsia" w:ascii="仿宋_GB2312" w:eastAsia="仿宋_GB2312" w:hAnsiTheme="majorEastAsia" w:cstheme="majorEastAsia"/>
          <w:color w:val="000000" w:themeColor="text1"/>
          <w:kern w:val="0"/>
          <w:sz w:val="32"/>
          <w:szCs w:val="32"/>
        </w:rPr>
        <w:t>个一般公共预算项目，以及</w:t>
      </w:r>
      <w:r>
        <w:rPr>
          <w:rFonts w:ascii="仿宋_GB2312" w:eastAsia="仿宋_GB2312" w:hAnsiTheme="majorEastAsia" w:cstheme="majorEastAsia"/>
          <w:color w:val="000000" w:themeColor="text1"/>
          <w:kern w:val="0"/>
          <w:sz w:val="32"/>
          <w:szCs w:val="32"/>
        </w:rPr>
        <w:t>0</w:t>
      </w:r>
      <w:r>
        <w:rPr>
          <w:rFonts w:hint="eastAsia" w:ascii="仿宋_GB2312" w:eastAsia="仿宋_GB2312" w:hAnsiTheme="majorEastAsia" w:cstheme="majorEastAsia"/>
          <w:color w:val="000000" w:themeColor="text1"/>
          <w:kern w:val="0"/>
          <w:sz w:val="32"/>
          <w:szCs w:val="32"/>
        </w:rPr>
        <w:t>个政府性基金项目，共</w:t>
      </w:r>
      <w:r>
        <w:rPr>
          <w:rFonts w:ascii="仿宋_GB2312" w:eastAsia="仿宋_GB2312" w:hAnsiTheme="majorEastAsia" w:cstheme="majorEastAsia"/>
          <w:color w:val="000000" w:themeColor="text1"/>
          <w:kern w:val="0"/>
          <w:sz w:val="32"/>
          <w:szCs w:val="32"/>
        </w:rPr>
        <w:t>5</w:t>
      </w:r>
      <w:r>
        <w:rPr>
          <w:rFonts w:hint="eastAsia" w:ascii="仿宋_GB2312" w:eastAsia="仿宋_GB2312" w:hAnsiTheme="majorEastAsia" w:cstheme="majorEastAsia"/>
          <w:color w:val="000000" w:themeColor="text1"/>
          <w:kern w:val="0"/>
          <w:sz w:val="32"/>
          <w:szCs w:val="32"/>
        </w:rPr>
        <w:t>个项目的绩效自评结果。</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1.派驻纪检组工作经费项目自评综述：根据年初设定的绩效目标，项目自评得分95.48分。全年预算数为8.89万元，执行数为5.8万元，完成预算的</w:t>
      </w:r>
      <w:r>
        <w:rPr>
          <w:rFonts w:ascii="仿宋_GB2312" w:eastAsia="仿宋_GB2312" w:hAnsiTheme="majorEastAsia" w:cstheme="majorEastAsia"/>
          <w:color w:val="000000" w:themeColor="text1"/>
          <w:kern w:val="0"/>
          <w:sz w:val="32"/>
          <w:szCs w:val="32"/>
        </w:rPr>
        <w:t>65.24</w:t>
      </w:r>
      <w:r>
        <w:rPr>
          <w:rFonts w:hint="eastAsia" w:ascii="仿宋_GB2312" w:eastAsia="仿宋_GB2312" w:hAnsiTheme="majorEastAsia" w:cstheme="majorEastAsia"/>
          <w:color w:val="000000" w:themeColor="text1"/>
          <w:kern w:val="0"/>
          <w:sz w:val="32"/>
          <w:szCs w:val="32"/>
        </w:rPr>
        <w:t>%。项目绩效目标完成情况：我组深入学习了习近平总书记关于党风廉政建设和反腐败工作重要论述，认真贯彻落实《纪检监察机关派驻机构工作规则》《2024年度监督工作清单》通知，牢牢把握驻在部门职责使命，强化政治监督，推动院党委认真履行党风廉政建设主体责任，确保中央自治区市重大决策部署得到坚决贯彻落实。今年以来，我组协同推动医院召开党的建设暨高质量发展会议，党风廉政暨医德医风建设工作会议，警示教育会议7次，参加中心医院党委会，院长办公会等各类会议78次，开展明察暗访12次，谈心谈话50余人次，提出意见建议7条，整改销号巡察反馈意见9条，制定细化政治监督台账，动态更新重点监督清单，主题落实情况，派驻监督情况，“第一议题”落实不够全面深入，会风文风不实不新,"上热衷问下冷“管理运行不畅，行政科室负责人多年不轮岗，医德医风和服务效能负面反应多等诸多问题得到有效解决。处置问题线索7件，其中初核1件，立案1件</w:t>
      </w:r>
      <w:r>
        <w:rPr>
          <w:rFonts w:ascii="仿宋_GB2312" w:eastAsia="仿宋_GB2312" w:hAnsiTheme="majorEastAsia" w:cstheme="majorEastAsia"/>
          <w:color w:val="000000" w:themeColor="text1"/>
          <w:kern w:val="0"/>
          <w:sz w:val="32"/>
          <w:szCs w:val="32"/>
        </w:rPr>
        <w:t>。</w:t>
      </w:r>
      <w:r>
        <w:rPr>
          <w:rFonts w:hint="eastAsia" w:ascii="仿宋_GB2312" w:eastAsia="仿宋_GB2312" w:hAnsiTheme="majorEastAsia" w:cstheme="majorEastAsia"/>
          <w:color w:val="000000" w:themeColor="text1"/>
          <w:kern w:val="0"/>
          <w:sz w:val="32"/>
          <w:szCs w:val="32"/>
        </w:rPr>
        <w:t>发现的主要问题及原因：资金使用率不达标，原因为2024年</w:t>
      </w:r>
      <w:r>
        <w:rPr>
          <w:rFonts w:ascii="仿宋_GB2312" w:eastAsia="仿宋_GB2312" w:hAnsiTheme="majorEastAsia" w:cstheme="majorEastAsia"/>
          <w:color w:val="000000" w:themeColor="text1"/>
          <w:kern w:val="0"/>
          <w:sz w:val="32"/>
          <w:szCs w:val="32"/>
        </w:rPr>
        <w:t>5月份纪检组长调动其他单位，经费有其他单位承担</w:t>
      </w:r>
      <w:r>
        <w:rPr>
          <w:rFonts w:hint="eastAsia" w:ascii="仿宋_GB2312" w:eastAsia="仿宋_GB2312" w:hAnsiTheme="majorEastAsia" w:cstheme="majorEastAsia"/>
          <w:color w:val="000000" w:themeColor="text1"/>
          <w:kern w:val="0"/>
          <w:sz w:val="32"/>
          <w:szCs w:val="32"/>
        </w:rPr>
        <w:t>，日常经费报销进度较慢。下一步改进措施：</w:t>
      </w:r>
      <w:r>
        <w:rPr>
          <w:rFonts w:ascii="仿宋_GB2312" w:eastAsia="仿宋_GB2312" w:hAnsiTheme="majorEastAsia" w:cstheme="majorEastAsia"/>
          <w:color w:val="000000" w:themeColor="text1"/>
          <w:kern w:val="0"/>
          <w:sz w:val="32"/>
          <w:szCs w:val="32"/>
        </w:rPr>
        <w:t>着力在强化政治监督具体化精准化方面持续发力，着力在做实日常监督推动医德医风和服务效能方面持续发力，着力在抓好药品器械采购，基建维修工程等廉洁风险防控方面持续发力，不断向组织和群众交上派驻监督工作更好更实的成绩单</w:t>
      </w:r>
      <w:r>
        <w:rPr>
          <w:rFonts w:hint="eastAsia" w:ascii="仿宋_GB2312" w:eastAsia="仿宋_GB2312" w:hAnsiTheme="majorEastAsia" w:cstheme="majorEastAsia"/>
          <w:color w:val="000000" w:themeColor="text1"/>
          <w:kern w:val="0"/>
          <w:sz w:val="32"/>
          <w:szCs w:val="32"/>
        </w:rPr>
        <w:t>，合理预算，加快报销进度，按照工作要求及时支付款项。</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2</w:t>
      </w:r>
      <w:r>
        <w:rPr>
          <w:rFonts w:ascii="仿宋_GB2312" w:eastAsia="仿宋_GB2312" w:hAnsiTheme="majorEastAsia" w:cstheme="majorEastAsia"/>
          <w:color w:val="000000" w:themeColor="text1"/>
          <w:kern w:val="0"/>
          <w:sz w:val="32"/>
          <w:szCs w:val="32"/>
        </w:rPr>
        <w:t>.2024年度无创产前基因筛查</w:t>
      </w:r>
      <w:r>
        <w:rPr>
          <w:rFonts w:hint="eastAsia" w:ascii="仿宋_GB2312" w:eastAsia="仿宋_GB2312" w:hAnsiTheme="majorEastAsia" w:cstheme="majorEastAsia"/>
          <w:color w:val="000000" w:themeColor="text1"/>
          <w:kern w:val="0"/>
          <w:sz w:val="32"/>
          <w:szCs w:val="32"/>
        </w:rPr>
        <w:t>项目自评综述：根据年初设定的绩效目标，项目自评得分</w:t>
      </w:r>
      <w:r>
        <w:rPr>
          <w:rFonts w:ascii="仿宋_GB2312" w:eastAsia="仿宋_GB2312" w:hAnsiTheme="majorEastAsia" w:cstheme="majorEastAsia"/>
          <w:color w:val="000000" w:themeColor="text1"/>
          <w:kern w:val="0"/>
          <w:sz w:val="32"/>
          <w:szCs w:val="32"/>
        </w:rPr>
        <w:t>99.91</w:t>
      </w:r>
      <w:r>
        <w:rPr>
          <w:rFonts w:hint="eastAsia" w:ascii="仿宋_GB2312" w:eastAsia="仿宋_GB2312" w:hAnsiTheme="majorEastAsia" w:cstheme="majorEastAsia"/>
          <w:color w:val="000000" w:themeColor="text1"/>
          <w:kern w:val="0"/>
          <w:sz w:val="32"/>
          <w:szCs w:val="32"/>
        </w:rPr>
        <w:t>分。全年预算数为</w:t>
      </w:r>
      <w:r>
        <w:rPr>
          <w:rFonts w:ascii="仿宋_GB2312" w:eastAsia="仿宋_GB2312" w:hAnsiTheme="majorEastAsia" w:cstheme="majorEastAsia"/>
          <w:color w:val="000000" w:themeColor="text1"/>
          <w:kern w:val="0"/>
          <w:sz w:val="32"/>
          <w:szCs w:val="32"/>
        </w:rPr>
        <w:t xml:space="preserve">1149.89 </w:t>
      </w:r>
      <w:r>
        <w:rPr>
          <w:rFonts w:hint="eastAsia" w:ascii="仿宋_GB2312" w:eastAsia="仿宋_GB2312" w:hAnsiTheme="majorEastAsia" w:cstheme="majorEastAsia"/>
          <w:color w:val="000000" w:themeColor="text1"/>
          <w:kern w:val="0"/>
          <w:sz w:val="32"/>
          <w:szCs w:val="32"/>
        </w:rPr>
        <w:t>万元，执行数为</w:t>
      </w:r>
      <w:r>
        <w:rPr>
          <w:rFonts w:ascii="仿宋_GB2312" w:eastAsia="仿宋_GB2312" w:hAnsiTheme="majorEastAsia" w:cstheme="majorEastAsia"/>
          <w:color w:val="000000" w:themeColor="text1"/>
          <w:kern w:val="0"/>
          <w:sz w:val="32"/>
          <w:szCs w:val="32"/>
        </w:rPr>
        <w:t>1139.38</w:t>
      </w:r>
      <w:r>
        <w:rPr>
          <w:rFonts w:hint="eastAsia" w:ascii="仿宋_GB2312" w:eastAsia="仿宋_GB2312" w:hAnsiTheme="majorEastAsia" w:cstheme="majorEastAsia"/>
          <w:color w:val="000000" w:themeColor="text1"/>
          <w:kern w:val="0"/>
          <w:sz w:val="32"/>
          <w:szCs w:val="32"/>
        </w:rPr>
        <w:t>万元，完成预算的</w:t>
      </w:r>
      <w:r>
        <w:rPr>
          <w:rFonts w:ascii="仿宋_GB2312" w:eastAsia="仿宋_GB2312" w:hAnsiTheme="majorEastAsia" w:cstheme="majorEastAsia"/>
          <w:color w:val="000000" w:themeColor="text1"/>
          <w:kern w:val="0"/>
          <w:sz w:val="32"/>
          <w:szCs w:val="32"/>
        </w:rPr>
        <w:t>99.09</w:t>
      </w:r>
      <w:r>
        <w:rPr>
          <w:rFonts w:hint="eastAsia" w:ascii="仿宋_GB2312" w:eastAsia="仿宋_GB2312" w:hAnsiTheme="majorEastAsia" w:cstheme="majorEastAsia"/>
          <w:color w:val="000000" w:themeColor="text1"/>
          <w:kern w:val="0"/>
          <w:sz w:val="32"/>
          <w:szCs w:val="32"/>
        </w:rPr>
        <w:t>%。项目绩效目标完成情况：本年度</w:t>
      </w:r>
      <w:r>
        <w:rPr>
          <w:rFonts w:ascii="仿宋_GB2312" w:eastAsia="仿宋_GB2312" w:hAnsiTheme="majorEastAsia" w:cstheme="majorEastAsia"/>
          <w:color w:val="000000" w:themeColor="text1"/>
          <w:kern w:val="0"/>
          <w:sz w:val="32"/>
          <w:szCs w:val="32"/>
        </w:rPr>
        <w:t>开展宣传人次</w:t>
      </w:r>
      <w:r>
        <w:rPr>
          <w:rFonts w:hint="eastAsia" w:ascii="仿宋_GB2312" w:eastAsia="仿宋_GB2312" w:hAnsiTheme="majorEastAsia" w:cstheme="majorEastAsia"/>
          <w:color w:val="000000" w:themeColor="text1"/>
          <w:kern w:val="0"/>
          <w:sz w:val="32"/>
          <w:szCs w:val="32"/>
        </w:rPr>
        <w:t>600</w:t>
      </w:r>
      <w:r>
        <w:rPr>
          <w:rFonts w:ascii="仿宋_GB2312" w:eastAsia="仿宋_GB2312" w:hAnsiTheme="majorEastAsia" w:cstheme="majorEastAsia"/>
          <w:color w:val="000000" w:themeColor="text1"/>
          <w:kern w:val="0"/>
          <w:sz w:val="32"/>
          <w:szCs w:val="32"/>
        </w:rPr>
        <w:t>人，检测人数4000</w:t>
      </w:r>
      <w:r>
        <w:rPr>
          <w:rFonts w:hint="eastAsia" w:ascii="仿宋_GB2312" w:eastAsia="仿宋_GB2312" w:hAnsiTheme="majorEastAsia" w:cstheme="majorEastAsia"/>
          <w:color w:val="000000" w:themeColor="text1"/>
          <w:kern w:val="0"/>
          <w:sz w:val="32"/>
          <w:szCs w:val="32"/>
        </w:rPr>
        <w:t>人</w:t>
      </w:r>
      <w:r>
        <w:rPr>
          <w:rFonts w:ascii="仿宋_GB2312" w:eastAsia="仿宋_GB2312" w:hAnsiTheme="majorEastAsia" w:cstheme="majorEastAsia"/>
          <w:color w:val="000000" w:themeColor="text1"/>
          <w:kern w:val="0"/>
          <w:sz w:val="32"/>
          <w:szCs w:val="32"/>
        </w:rPr>
        <w:t>，项目开展宣传知晓率</w:t>
      </w:r>
      <w:r>
        <w:rPr>
          <w:rFonts w:hint="eastAsia" w:ascii="仿宋_GB2312" w:eastAsia="仿宋_GB2312" w:hAnsiTheme="majorEastAsia" w:cstheme="majorEastAsia"/>
          <w:color w:val="000000" w:themeColor="text1"/>
          <w:kern w:val="0"/>
          <w:sz w:val="32"/>
          <w:szCs w:val="32"/>
        </w:rPr>
        <w:t>95%,</w:t>
      </w:r>
      <w:r>
        <w:rPr>
          <w:rFonts w:ascii="仿宋_GB2312" w:eastAsia="仿宋_GB2312" w:hAnsiTheme="majorEastAsia" w:cstheme="majorEastAsia"/>
          <w:color w:val="000000" w:themeColor="text1"/>
          <w:kern w:val="0"/>
          <w:sz w:val="32"/>
          <w:szCs w:val="32"/>
        </w:rPr>
        <w:t>项目检测完成率</w:t>
      </w:r>
      <w:r>
        <w:rPr>
          <w:rFonts w:hint="eastAsia" w:ascii="仿宋_GB2312" w:eastAsia="仿宋_GB2312" w:hAnsiTheme="majorEastAsia" w:cstheme="majorEastAsia"/>
          <w:color w:val="000000" w:themeColor="text1"/>
          <w:kern w:val="0"/>
          <w:sz w:val="32"/>
          <w:szCs w:val="32"/>
        </w:rPr>
        <w:t>达到100</w:t>
      </w:r>
      <w:r>
        <w:rPr>
          <w:rFonts w:ascii="仿宋_GB2312" w:eastAsia="仿宋_GB2312" w:hAnsiTheme="majorEastAsia" w:cstheme="majorEastAsia"/>
          <w:color w:val="000000" w:themeColor="text1"/>
          <w:kern w:val="0"/>
          <w:sz w:val="32"/>
          <w:szCs w:val="32"/>
        </w:rPr>
        <w:t>%</w:t>
      </w:r>
      <w:r>
        <w:rPr>
          <w:rFonts w:hint="eastAsia" w:ascii="仿宋_GB2312" w:eastAsia="仿宋_GB2312" w:hAnsiTheme="majorEastAsia" w:cstheme="majorEastAsia"/>
          <w:color w:val="000000" w:themeColor="text1"/>
          <w:kern w:val="0"/>
          <w:sz w:val="32"/>
          <w:szCs w:val="32"/>
        </w:rPr>
        <w:t>。通过开展该项目，</w:t>
      </w:r>
      <w:r>
        <w:rPr>
          <w:rFonts w:ascii="仿宋_GB2312" w:eastAsia="仿宋_GB2312" w:hAnsiTheme="majorEastAsia" w:cstheme="majorEastAsia"/>
          <w:color w:val="000000" w:themeColor="text1"/>
          <w:kern w:val="0"/>
          <w:sz w:val="32"/>
          <w:szCs w:val="32"/>
        </w:rPr>
        <w:t>妇幼健康意识</w:t>
      </w:r>
      <w:r>
        <w:rPr>
          <w:rFonts w:hint="eastAsia" w:ascii="仿宋_GB2312" w:eastAsia="仿宋_GB2312" w:hAnsiTheme="majorEastAsia" w:cstheme="majorEastAsia"/>
          <w:color w:val="000000" w:themeColor="text1"/>
          <w:kern w:val="0"/>
          <w:sz w:val="32"/>
          <w:szCs w:val="32"/>
        </w:rPr>
        <w:t>逐步</w:t>
      </w:r>
      <w:r>
        <w:rPr>
          <w:rFonts w:ascii="仿宋_GB2312" w:eastAsia="仿宋_GB2312" w:hAnsiTheme="majorEastAsia" w:cstheme="majorEastAsia"/>
          <w:color w:val="000000" w:themeColor="text1"/>
          <w:kern w:val="0"/>
          <w:sz w:val="32"/>
          <w:szCs w:val="32"/>
        </w:rPr>
        <w:t>提高，</w:t>
      </w:r>
      <w:r>
        <w:rPr>
          <w:rFonts w:hint="eastAsia" w:ascii="仿宋_GB2312" w:eastAsia="仿宋_GB2312" w:hAnsiTheme="majorEastAsia" w:cstheme="majorEastAsia"/>
          <w:color w:val="000000" w:themeColor="text1"/>
          <w:kern w:val="0"/>
          <w:sz w:val="32"/>
          <w:szCs w:val="32"/>
        </w:rPr>
        <w:t>达到服务对象100%满意度</w:t>
      </w:r>
      <w:r>
        <w:rPr>
          <w:rFonts w:ascii="仿宋_GB2312" w:eastAsia="仿宋_GB2312" w:hAnsiTheme="majorEastAsia" w:cstheme="majorEastAsia"/>
          <w:color w:val="000000" w:themeColor="text1"/>
          <w:kern w:val="0"/>
          <w:sz w:val="32"/>
          <w:szCs w:val="32"/>
        </w:rPr>
        <w:t>。</w:t>
      </w:r>
      <w:r>
        <w:rPr>
          <w:rFonts w:hint="eastAsia" w:ascii="仿宋_GB2312" w:eastAsia="仿宋_GB2312" w:hAnsiTheme="majorEastAsia" w:cstheme="majorEastAsia"/>
          <w:color w:val="000000" w:themeColor="text1"/>
          <w:kern w:val="0"/>
          <w:sz w:val="32"/>
          <w:szCs w:val="32"/>
        </w:rPr>
        <w:t>发现的主要问题及原因：合理使用预算指标，严格执行专款专用。下一步改进措施：</w:t>
      </w:r>
      <w:r>
        <w:rPr>
          <w:rFonts w:ascii="仿宋_GB2312" w:eastAsia="仿宋_GB2312" w:hAnsiTheme="majorEastAsia" w:cstheme="majorEastAsia"/>
          <w:color w:val="000000" w:themeColor="text1"/>
          <w:kern w:val="0"/>
          <w:sz w:val="32"/>
          <w:szCs w:val="32"/>
        </w:rPr>
        <w:t>加大宣传力度，采用多种宣传方式，积极推广产前筛查项目，提高检测效率和完成率</w:t>
      </w:r>
      <w:r>
        <w:rPr>
          <w:rFonts w:hint="eastAsia" w:ascii="仿宋_GB2312" w:eastAsia="仿宋_GB2312" w:hAnsiTheme="majorEastAsia" w:cstheme="majorEastAsia"/>
          <w:color w:val="000000" w:themeColor="text1"/>
          <w:kern w:val="0"/>
          <w:sz w:val="32"/>
          <w:szCs w:val="32"/>
        </w:rPr>
        <w:t>，合理预算，提高资金使用率</w:t>
      </w:r>
      <w:r>
        <w:rPr>
          <w:rFonts w:ascii="仿宋_GB2312" w:eastAsia="仿宋_GB2312" w:hAnsiTheme="majorEastAsia" w:cstheme="majorEastAsia"/>
          <w:color w:val="000000" w:themeColor="text1"/>
          <w:kern w:val="0"/>
          <w:sz w:val="32"/>
          <w:szCs w:val="32"/>
        </w:rPr>
        <w:t>。</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3</w:t>
      </w:r>
      <w:r>
        <w:rPr>
          <w:rFonts w:ascii="仿宋_GB2312" w:eastAsia="仿宋_GB2312" w:hAnsiTheme="majorEastAsia" w:cstheme="majorEastAsia"/>
          <w:color w:val="000000" w:themeColor="text1"/>
          <w:kern w:val="0"/>
          <w:sz w:val="32"/>
          <w:szCs w:val="32"/>
        </w:rPr>
        <w:t>.</w:t>
      </w:r>
      <w:r>
        <w:rPr>
          <w:rFonts w:hint="eastAsia" w:ascii="仿宋_GB2312" w:eastAsia="仿宋_GB2312" w:hAnsiTheme="majorEastAsia" w:cstheme="majorEastAsia"/>
          <w:color w:val="000000" w:themeColor="text1"/>
          <w:kern w:val="0"/>
          <w:sz w:val="32"/>
          <w:szCs w:val="32"/>
        </w:rPr>
        <w:t>包联驻村工作经费项目自评综述：根据年初设定的绩效目标，项目自评得分99.4分。全年预算数为</w:t>
      </w:r>
      <w:r>
        <w:rPr>
          <w:rFonts w:ascii="仿宋_GB2312" w:eastAsia="仿宋_GB2312" w:hAnsiTheme="majorEastAsia" w:cstheme="majorEastAsia"/>
          <w:color w:val="000000" w:themeColor="text1"/>
          <w:kern w:val="0"/>
          <w:sz w:val="32"/>
          <w:szCs w:val="32"/>
        </w:rPr>
        <w:t>10</w:t>
      </w:r>
      <w:r>
        <w:rPr>
          <w:rFonts w:hint="eastAsia" w:ascii="仿宋_GB2312" w:eastAsia="仿宋_GB2312" w:hAnsiTheme="majorEastAsia" w:cstheme="majorEastAsia"/>
          <w:color w:val="000000" w:themeColor="text1"/>
          <w:kern w:val="0"/>
          <w:sz w:val="32"/>
          <w:szCs w:val="32"/>
        </w:rPr>
        <w:t>万元，执行数为9.4万元，完成预算的94%。项目绩效目标完成情况：通过精准选派干部、创新工作机制，在加强基层组织、推动产业发展、提升治理水平等方面取得了显著成效。本年度为民办实事5件，新增村集体收入项目3项，村集体营业收入增加16万元，脱贫户公益性岗位1个，农村饮水安全稳步提升</w:t>
      </w:r>
      <w:r>
        <w:rPr>
          <w:rFonts w:ascii="仿宋_GB2312" w:eastAsia="仿宋_GB2312" w:hAnsiTheme="majorEastAsia" w:cstheme="majorEastAsia"/>
          <w:color w:val="000000" w:themeColor="text1"/>
          <w:kern w:val="0"/>
          <w:sz w:val="32"/>
          <w:szCs w:val="32"/>
        </w:rPr>
        <w:t>，</w:t>
      </w:r>
      <w:r>
        <w:rPr>
          <w:rFonts w:hint="eastAsia" w:ascii="仿宋_GB2312" w:eastAsia="仿宋_GB2312" w:hAnsiTheme="majorEastAsia" w:cstheme="majorEastAsia"/>
          <w:color w:val="000000" w:themeColor="text1"/>
          <w:kern w:val="0"/>
          <w:sz w:val="32"/>
          <w:szCs w:val="32"/>
        </w:rPr>
        <w:t>推进耕地的可持续利用，达到100%群众满意度</w:t>
      </w:r>
      <w:r>
        <w:rPr>
          <w:rFonts w:ascii="仿宋_GB2312" w:eastAsia="仿宋_GB2312" w:hAnsiTheme="majorEastAsia" w:cstheme="majorEastAsia"/>
          <w:color w:val="000000" w:themeColor="text1"/>
          <w:kern w:val="0"/>
          <w:sz w:val="32"/>
          <w:szCs w:val="32"/>
        </w:rPr>
        <w:t>。</w:t>
      </w:r>
      <w:r>
        <w:rPr>
          <w:rFonts w:hint="eastAsia" w:ascii="仿宋_GB2312" w:eastAsia="仿宋_GB2312" w:hAnsiTheme="majorEastAsia" w:cstheme="majorEastAsia"/>
          <w:color w:val="000000" w:themeColor="text1"/>
          <w:kern w:val="0"/>
          <w:sz w:val="32"/>
          <w:szCs w:val="32"/>
        </w:rPr>
        <w:t>发现的主要问题及原因：合理使用预算指标，严格执行专款专用。下一步改进措施：</w:t>
      </w:r>
      <w:r>
        <w:rPr>
          <w:rFonts w:ascii="仿宋_GB2312" w:eastAsia="仿宋_GB2312" w:hAnsiTheme="majorEastAsia" w:cstheme="majorEastAsia"/>
          <w:color w:val="000000" w:themeColor="text1"/>
          <w:kern w:val="0"/>
          <w:sz w:val="32"/>
          <w:szCs w:val="32"/>
        </w:rPr>
        <w:t>加大义诊和送药的频次，针对个别困难户，帮助购买常用慢性病药品并送药上门，降低平均买药成本，为到我院就诊的农户提供必要可行的帮助，节约就诊时间，同时在村内开展视频问诊等服务</w:t>
      </w:r>
      <w:r>
        <w:rPr>
          <w:rFonts w:hint="eastAsia" w:ascii="仿宋_GB2312" w:eastAsia="仿宋_GB2312" w:hAnsiTheme="majorEastAsia" w:cstheme="majorEastAsia"/>
          <w:color w:val="000000" w:themeColor="text1"/>
          <w:kern w:val="0"/>
          <w:sz w:val="32"/>
          <w:szCs w:val="32"/>
        </w:rPr>
        <w:t>,合理预算，提高资金使用率</w:t>
      </w:r>
      <w:r>
        <w:rPr>
          <w:rFonts w:ascii="仿宋_GB2312" w:eastAsia="仿宋_GB2312" w:hAnsiTheme="majorEastAsia" w:cstheme="majorEastAsia"/>
          <w:color w:val="000000" w:themeColor="text1"/>
          <w:kern w:val="0"/>
          <w:sz w:val="32"/>
          <w:szCs w:val="32"/>
        </w:rPr>
        <w:t>。</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4.</w:t>
      </w:r>
      <w:r>
        <w:rPr>
          <w:rFonts w:ascii="仿宋_GB2312" w:eastAsia="仿宋_GB2312" w:hAnsiTheme="majorEastAsia" w:cstheme="majorEastAsia"/>
          <w:color w:val="000000" w:themeColor="text1"/>
          <w:kern w:val="0"/>
          <w:sz w:val="32"/>
          <w:szCs w:val="32"/>
        </w:rPr>
        <w:t>2024年度重大传染病防控经费（城市癌症早诊早治项目）</w:t>
      </w:r>
      <w:r>
        <w:rPr>
          <w:rFonts w:hint="eastAsia" w:ascii="仿宋_GB2312" w:eastAsia="仿宋_GB2312" w:hAnsiTheme="majorEastAsia" w:cstheme="majorEastAsia"/>
          <w:color w:val="000000" w:themeColor="text1"/>
          <w:kern w:val="0"/>
          <w:sz w:val="32"/>
          <w:szCs w:val="32"/>
        </w:rPr>
        <w:t>项目自评综述：项目自评得分99.29分，全年预算数</w:t>
      </w:r>
      <w:r>
        <w:rPr>
          <w:rFonts w:ascii="仿宋_GB2312" w:eastAsia="仿宋_GB2312" w:hAnsiTheme="majorEastAsia" w:cstheme="majorEastAsia"/>
          <w:color w:val="000000" w:themeColor="text1"/>
          <w:kern w:val="0"/>
          <w:sz w:val="32"/>
          <w:szCs w:val="32"/>
        </w:rPr>
        <w:t>44</w:t>
      </w:r>
      <w:r>
        <w:rPr>
          <w:rFonts w:hint="eastAsia" w:ascii="仿宋_GB2312" w:eastAsia="仿宋_GB2312" w:hAnsiTheme="majorEastAsia" w:cstheme="majorEastAsia"/>
          <w:color w:val="000000" w:themeColor="text1"/>
          <w:kern w:val="0"/>
          <w:sz w:val="32"/>
          <w:szCs w:val="32"/>
        </w:rPr>
        <w:t>万元，执行数为42.07万元，完成预算的</w:t>
      </w:r>
      <w:r>
        <w:rPr>
          <w:rFonts w:ascii="仿宋_GB2312" w:eastAsia="仿宋_GB2312" w:hAnsiTheme="majorEastAsia" w:cstheme="majorEastAsia"/>
          <w:color w:val="000000" w:themeColor="text1"/>
          <w:kern w:val="0"/>
          <w:sz w:val="32"/>
          <w:szCs w:val="32"/>
        </w:rPr>
        <w:t>95.61</w:t>
      </w:r>
      <w:r>
        <w:rPr>
          <w:rFonts w:hint="eastAsia" w:ascii="仿宋_GB2312" w:eastAsia="仿宋_GB2312" w:hAnsiTheme="majorEastAsia" w:cstheme="majorEastAsia"/>
          <w:color w:val="000000" w:themeColor="text1"/>
          <w:kern w:val="0"/>
          <w:sz w:val="32"/>
          <w:szCs w:val="32"/>
        </w:rPr>
        <w:t>%。项目绩效目标完成情况：2024年</w:t>
      </w:r>
      <w:r>
        <w:rPr>
          <w:rFonts w:ascii="仿宋_GB2312" w:eastAsia="仿宋_GB2312" w:hAnsiTheme="majorEastAsia" w:cstheme="majorEastAsia"/>
          <w:color w:val="000000" w:themeColor="text1"/>
          <w:kern w:val="0"/>
          <w:sz w:val="32"/>
          <w:szCs w:val="32"/>
        </w:rPr>
        <w:t>城市癌症</w:t>
      </w:r>
      <w:r>
        <w:rPr>
          <w:rFonts w:hint="eastAsia" w:ascii="仿宋_GB2312" w:eastAsia="仿宋_GB2312" w:hAnsiTheme="majorEastAsia" w:cstheme="majorEastAsia"/>
          <w:color w:val="000000" w:themeColor="text1"/>
          <w:kern w:val="0"/>
          <w:sz w:val="32"/>
          <w:szCs w:val="32"/>
        </w:rPr>
        <w:t>筛查于3月初开始实施，于12月底结束。第二批任务数为660例，其中包括肺癌、肝癌、乳腺癌、上消化道癌及结肠癌5个癌种。以上任务数已全额完成，包括筛查、数据上传及标本分离、冻存等工作。通过开展该项目，实现了癌症的早发现早治疗目的，取得了降低癌症发生率、提高肿瘤患者生存率、提高患者满意度的效果。发现的主要问题及原因：合理使用经费，保证经费专款专用。下一步改进措施：</w:t>
      </w:r>
      <w:r>
        <w:rPr>
          <w:rFonts w:ascii="仿宋_GB2312" w:eastAsia="仿宋_GB2312" w:hAnsiTheme="majorEastAsia" w:cstheme="majorEastAsia"/>
          <w:color w:val="000000" w:themeColor="text1"/>
          <w:kern w:val="0"/>
          <w:sz w:val="32"/>
          <w:szCs w:val="32"/>
        </w:rPr>
        <w:t>拟定计划，上报院长办公会，经院领导及财务审核过关后再进行资金预算的填报，保证日后资金的顺利使用</w:t>
      </w:r>
      <w:r>
        <w:rPr>
          <w:rFonts w:hint="eastAsia" w:ascii="仿宋_GB2312" w:eastAsia="仿宋_GB2312" w:hAnsiTheme="majorEastAsia" w:cstheme="majorEastAsia"/>
          <w:color w:val="000000" w:themeColor="text1"/>
          <w:kern w:val="0"/>
          <w:sz w:val="32"/>
          <w:szCs w:val="32"/>
        </w:rPr>
        <w:t>，强化经费使用管理，提高资金使用效益</w:t>
      </w:r>
      <w:r>
        <w:rPr>
          <w:rFonts w:ascii="仿宋_GB2312" w:eastAsia="仿宋_GB2312" w:hAnsiTheme="majorEastAsia" w:cstheme="majorEastAsia"/>
          <w:color w:val="000000" w:themeColor="text1"/>
          <w:kern w:val="0"/>
          <w:sz w:val="32"/>
          <w:szCs w:val="32"/>
        </w:rPr>
        <w:t>。</w:t>
      </w:r>
    </w:p>
    <w:p>
      <w:pPr>
        <w:widowControl/>
        <w:spacing w:line="560" w:lineRule="exact"/>
        <w:ind w:firstLine="640" w:firstLineChars="200"/>
        <w:jc w:val="left"/>
        <w:rPr>
          <w:rFonts w:ascii="仿宋_GB2312" w:eastAsia="仿宋_GB2312" w:hAnsiTheme="majorEastAsia" w:cstheme="majorEastAsia"/>
          <w:color w:val="000000" w:themeColor="text1"/>
          <w:kern w:val="0"/>
          <w:sz w:val="32"/>
          <w:szCs w:val="32"/>
        </w:rPr>
      </w:pPr>
      <w:r>
        <w:rPr>
          <w:rFonts w:hint="eastAsia" w:ascii="仿宋_GB2312" w:eastAsia="仿宋_GB2312" w:hAnsiTheme="majorEastAsia" w:cstheme="majorEastAsia"/>
          <w:color w:val="000000" w:themeColor="text1"/>
          <w:kern w:val="0"/>
          <w:sz w:val="32"/>
          <w:szCs w:val="32"/>
        </w:rPr>
        <w:t>5.</w:t>
      </w:r>
      <w:r>
        <w:rPr>
          <w:rFonts w:ascii="仿宋_GB2312" w:eastAsia="仿宋_GB2312" w:hAnsiTheme="majorEastAsia" w:cstheme="majorEastAsia"/>
          <w:color w:val="000000" w:themeColor="text1"/>
          <w:kern w:val="0"/>
          <w:sz w:val="32"/>
          <w:szCs w:val="32"/>
        </w:rPr>
        <w:t>2024年度医疗服务与保障能力提升（卫生健康人才培养）补助资金（住院医师规范化培训）项目</w:t>
      </w:r>
      <w:r>
        <w:rPr>
          <w:rFonts w:hint="eastAsia" w:ascii="仿宋_GB2312" w:eastAsia="仿宋_GB2312" w:hAnsiTheme="majorEastAsia" w:cstheme="majorEastAsia"/>
          <w:color w:val="000000" w:themeColor="text1"/>
          <w:kern w:val="0"/>
          <w:sz w:val="32"/>
          <w:szCs w:val="32"/>
        </w:rPr>
        <w:t>自评综述：根据年初设定的绩效目标，项目自评得分99.77分。全年预算数为</w:t>
      </w:r>
      <w:r>
        <w:rPr>
          <w:rFonts w:ascii="仿宋_GB2312" w:eastAsia="仿宋_GB2312" w:hAnsiTheme="majorEastAsia" w:cstheme="majorEastAsia"/>
          <w:color w:val="000000" w:themeColor="text1"/>
          <w:kern w:val="0"/>
          <w:sz w:val="32"/>
          <w:szCs w:val="32"/>
        </w:rPr>
        <w:t>503.33</w:t>
      </w:r>
      <w:r>
        <w:rPr>
          <w:rFonts w:hint="eastAsia" w:ascii="仿宋_GB2312" w:eastAsia="仿宋_GB2312" w:hAnsiTheme="majorEastAsia" w:cstheme="majorEastAsia"/>
          <w:color w:val="000000" w:themeColor="text1"/>
          <w:kern w:val="0"/>
          <w:sz w:val="32"/>
          <w:szCs w:val="32"/>
        </w:rPr>
        <w:t>万元，执行数为</w:t>
      </w:r>
      <w:r>
        <w:rPr>
          <w:rFonts w:ascii="仿宋_GB2312" w:eastAsia="仿宋_GB2312" w:hAnsiTheme="majorEastAsia" w:cstheme="majorEastAsia"/>
          <w:color w:val="000000" w:themeColor="text1"/>
          <w:kern w:val="0"/>
          <w:sz w:val="32"/>
          <w:szCs w:val="32"/>
        </w:rPr>
        <w:t>491.84</w:t>
      </w:r>
      <w:r>
        <w:rPr>
          <w:rFonts w:hint="eastAsia" w:ascii="仿宋_GB2312" w:eastAsia="仿宋_GB2312" w:hAnsiTheme="majorEastAsia" w:cstheme="majorEastAsia"/>
          <w:color w:val="000000" w:themeColor="text1"/>
          <w:kern w:val="0"/>
          <w:sz w:val="32"/>
          <w:szCs w:val="32"/>
        </w:rPr>
        <w:t>万元，完成预算的</w:t>
      </w:r>
      <w:r>
        <w:rPr>
          <w:rFonts w:ascii="仿宋_GB2312" w:eastAsia="仿宋_GB2312" w:hAnsiTheme="majorEastAsia" w:cstheme="majorEastAsia"/>
          <w:color w:val="000000" w:themeColor="text1"/>
          <w:kern w:val="0"/>
          <w:sz w:val="32"/>
          <w:szCs w:val="32"/>
        </w:rPr>
        <w:t>97.72</w:t>
      </w:r>
      <w:r>
        <w:rPr>
          <w:rFonts w:hint="eastAsia" w:ascii="仿宋_GB2312" w:eastAsia="仿宋_GB2312" w:hAnsiTheme="majorEastAsia" w:cstheme="majorEastAsia"/>
          <w:color w:val="000000" w:themeColor="text1"/>
          <w:kern w:val="0"/>
          <w:sz w:val="32"/>
          <w:szCs w:val="32"/>
        </w:rPr>
        <w:t>%。项目绩效目标完成情况：2024年全年根据住院医师规范化培训相关制度要求，按进度支出各项教学活动，学员补助，师资培训等经费，执行率达97.72%。为24年的住培工作提供的有效的保障，本年度住培结业考试通过率100%，取得了一定的成效，为鄂尔多斯地区持续培训培养合格的住院医师。发现的主要问题及原因：合理使用经费，保证经费专款专用。下一步改进措施：</w:t>
      </w:r>
      <w:r>
        <w:rPr>
          <w:rFonts w:ascii="仿宋_GB2312" w:eastAsia="仿宋_GB2312" w:hAnsiTheme="majorEastAsia" w:cstheme="majorEastAsia"/>
          <w:color w:val="000000" w:themeColor="text1"/>
          <w:kern w:val="0"/>
          <w:sz w:val="32"/>
          <w:szCs w:val="32"/>
        </w:rPr>
        <w:t>持续提高我院师资教学水平，提高参培学员的诊疗水平。为鄂尔多斯地区医疗卫生健康事业持续不断输送合格的医疗卫生人才</w:t>
      </w:r>
      <w:r>
        <w:rPr>
          <w:rFonts w:hint="eastAsia" w:ascii="仿宋_GB2312" w:eastAsia="仿宋_GB2312" w:hAnsiTheme="majorEastAsia" w:cstheme="majorEastAsia"/>
          <w:color w:val="000000" w:themeColor="text1"/>
          <w:kern w:val="0"/>
          <w:sz w:val="32"/>
          <w:szCs w:val="32"/>
        </w:rPr>
        <w:t>强化经费使用管理，基地将继续严格把控住培专项经费使用，提高资金使用效益。</w:t>
      </w:r>
    </w:p>
    <w:tbl>
      <w:tblPr>
        <w:tblStyle w:val="22"/>
        <w:tblW w:w="10515" w:type="dxa"/>
        <w:tblInd w:w="93" w:type="dxa"/>
        <w:tblLayout w:type="fixed"/>
        <w:tblCellMar>
          <w:top w:w="0" w:type="dxa"/>
          <w:left w:w="108" w:type="dxa"/>
          <w:bottom w:w="0" w:type="dxa"/>
          <w:right w:w="108" w:type="dxa"/>
        </w:tblCellMar>
      </w:tblPr>
      <w:tblGrid>
        <w:gridCol w:w="731"/>
        <w:gridCol w:w="732"/>
        <w:gridCol w:w="813"/>
        <w:gridCol w:w="1084"/>
        <w:gridCol w:w="1195"/>
        <w:gridCol w:w="438"/>
        <w:gridCol w:w="900"/>
        <w:gridCol w:w="733"/>
        <w:gridCol w:w="1167"/>
        <w:gridCol w:w="1006"/>
        <w:gridCol w:w="734"/>
        <w:gridCol w:w="982"/>
      </w:tblGrid>
      <w:tr>
        <w:tblPrEx>
          <w:tblCellMar>
            <w:top w:w="0" w:type="dxa"/>
            <w:left w:w="108" w:type="dxa"/>
            <w:bottom w:w="0" w:type="dxa"/>
            <w:right w:w="108" w:type="dxa"/>
          </w:tblCellMar>
        </w:tblPrEx>
        <w:trPr>
          <w:trHeight w:val="960" w:hRule="atLeast"/>
        </w:trPr>
        <w:tc>
          <w:tcPr>
            <w:tcW w:w="10515"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40"/>
                <w:szCs w:val="40"/>
              </w:rPr>
            </w:pPr>
            <w:r>
              <w:rPr>
                <w:rFonts w:hint="eastAsia" w:ascii="宋体" w:hAnsi="宋体" w:cs="宋体"/>
                <w:b/>
                <w:bCs/>
                <w:color w:val="000000"/>
                <w:kern w:val="0"/>
                <w:sz w:val="40"/>
                <w:szCs w:val="40"/>
              </w:rPr>
              <w:t>项目支出绩效自评表</w:t>
            </w:r>
            <w:r>
              <w:rPr>
                <w:rFonts w:hint="eastAsia" w:ascii="宋体" w:hAnsi="宋体" w:cs="宋体"/>
                <w:b/>
                <w:bCs/>
                <w:color w:val="000000"/>
                <w:kern w:val="0"/>
                <w:sz w:val="40"/>
                <w:szCs w:val="40"/>
              </w:rPr>
              <w:br w:type="textWrapping"/>
            </w:r>
            <w:r>
              <w:rPr>
                <w:rFonts w:hint="eastAsia" w:ascii="宋体" w:hAnsi="宋体" w:cs="宋体"/>
                <w:b/>
                <w:bCs/>
                <w:color w:val="000000"/>
                <w:kern w:val="0"/>
                <w:sz w:val="40"/>
                <w:szCs w:val="40"/>
              </w:rPr>
              <w:t>(2025年度）</w:t>
            </w:r>
          </w:p>
        </w:tc>
      </w:tr>
      <w:tr>
        <w:tblPrEx>
          <w:tblCellMar>
            <w:top w:w="0" w:type="dxa"/>
            <w:left w:w="108" w:type="dxa"/>
            <w:bottom w:w="0" w:type="dxa"/>
            <w:right w:w="108" w:type="dxa"/>
          </w:tblCellMar>
        </w:tblPrEx>
        <w:trPr>
          <w:trHeight w:val="380" w:hRule="atLeast"/>
        </w:trPr>
        <w:tc>
          <w:tcPr>
            <w:tcW w:w="1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项目名称</w:t>
            </w:r>
          </w:p>
        </w:tc>
        <w:tc>
          <w:tcPr>
            <w:tcW w:w="905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派驻纪检组工作经费</w:t>
            </w:r>
          </w:p>
        </w:tc>
      </w:tr>
      <w:tr>
        <w:tblPrEx>
          <w:tblCellMar>
            <w:top w:w="0" w:type="dxa"/>
            <w:left w:w="108" w:type="dxa"/>
            <w:bottom w:w="0" w:type="dxa"/>
            <w:right w:w="108" w:type="dxa"/>
          </w:tblCellMar>
        </w:tblPrEx>
        <w:trPr>
          <w:trHeight w:val="380" w:hRule="atLeast"/>
        </w:trPr>
        <w:tc>
          <w:tcPr>
            <w:tcW w:w="146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主管部门</w:t>
            </w:r>
          </w:p>
        </w:tc>
        <w:tc>
          <w:tcPr>
            <w:tcW w:w="353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鄂尔多斯市卫生健康委员会（鄂尔多斯市中医药管理局）（部门）</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实施单位</w:t>
            </w:r>
          </w:p>
        </w:tc>
        <w:tc>
          <w:tcPr>
            <w:tcW w:w="388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鄂尔多斯市中心医院（内蒙古自治区超声影像研究所）</w:t>
            </w:r>
          </w:p>
        </w:tc>
      </w:tr>
      <w:tr>
        <w:tblPrEx>
          <w:tblCellMar>
            <w:top w:w="0" w:type="dxa"/>
            <w:left w:w="108" w:type="dxa"/>
            <w:bottom w:w="0" w:type="dxa"/>
            <w:right w:w="108" w:type="dxa"/>
          </w:tblCellMar>
        </w:tblPrEx>
        <w:trPr>
          <w:trHeight w:val="380" w:hRule="atLeast"/>
        </w:trPr>
        <w:tc>
          <w:tcPr>
            <w:tcW w:w="14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项目资金</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（万元）</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年初预算数</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全年预算数</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全年执行数</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执行率（%）</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trHeight w:val="380" w:hRule="atLeast"/>
        </w:trPr>
        <w:tc>
          <w:tcPr>
            <w:tcW w:w="14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8.89</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8.89</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5.8</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65.24</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6.52</w:t>
            </w:r>
          </w:p>
        </w:tc>
      </w:tr>
      <w:tr>
        <w:tblPrEx>
          <w:tblCellMar>
            <w:top w:w="0" w:type="dxa"/>
            <w:left w:w="108" w:type="dxa"/>
            <w:bottom w:w="0" w:type="dxa"/>
            <w:right w:w="108" w:type="dxa"/>
          </w:tblCellMar>
        </w:tblPrEx>
        <w:trPr>
          <w:trHeight w:val="380" w:hRule="atLeast"/>
        </w:trPr>
        <w:tc>
          <w:tcPr>
            <w:tcW w:w="14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8.89</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8.89</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5.8</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65.24</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4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上年结转资金</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4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1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74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46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年度总体目标</w:t>
            </w:r>
          </w:p>
        </w:tc>
        <w:tc>
          <w:tcPr>
            <w:tcW w:w="44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预期目标</w:t>
            </w:r>
          </w:p>
        </w:tc>
        <w:tc>
          <w:tcPr>
            <w:tcW w:w="4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实际完成情况</w:t>
            </w:r>
          </w:p>
        </w:tc>
      </w:tr>
      <w:tr>
        <w:tblPrEx>
          <w:tblCellMar>
            <w:top w:w="0" w:type="dxa"/>
            <w:left w:w="108" w:type="dxa"/>
            <w:bottom w:w="0" w:type="dxa"/>
            <w:right w:w="108" w:type="dxa"/>
          </w:tblCellMar>
        </w:tblPrEx>
        <w:trPr>
          <w:trHeight w:val="1120" w:hRule="atLeast"/>
        </w:trPr>
        <w:tc>
          <w:tcPr>
            <w:tcW w:w="146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44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加强监督派驻部门对中央和自治区、市委重大决策部署执行情况，坚决查处有令不行、有禁不止的行为，开展对新形势下党内政治生活若干准则等制度执行情况的监督检查，发现问题及时督促整改，达到营造廉洁勤政氛围的目的。</w:t>
            </w:r>
          </w:p>
        </w:tc>
        <w:tc>
          <w:tcPr>
            <w:tcW w:w="462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xml:space="preserve"> 我组深入学习了习近平总书记关于党风廉政建设和反腐败工作重要论述，认真贯彻落实《纪检监察机关派驻机构工作规则》《2024年度监督工作清单》通知，牢牢把握驻在部门职责使命，强化政治监督，推动院党委认真履行党风廉政建设主体责任，确保中央自治区市重大决策部署得到坚决贯彻落实。今年以来，我组协同推动医院召开党的建设暨高质量发展会议，党风廉政暨医德医风建设工作会议，警示教育会议7次，参加中心医院党委会，院长办公会等各类会议78次，开展明察暗访12次，谈心谈话50余人次，提出意见建议7条，整改销号巡察反馈意见9条，制定细化政治监督台账，动态更新重点监督清单，主题落实情况，派驻监督情况，“第一议题”落实不够全面深入，会风文风不实不新,"上热衷问下冷“管理运行不畅，行政科室负责人多年不轮岗，医德医风和服务效能负面反应多等诸多问题得到有效解决。处置问题线索7件，其中初核1件，立案1件。</w:t>
            </w:r>
          </w:p>
        </w:tc>
      </w:tr>
      <w:tr>
        <w:tblPrEx>
          <w:tblCellMar>
            <w:top w:w="0" w:type="dxa"/>
            <w:left w:w="108" w:type="dxa"/>
            <w:bottom w:w="0" w:type="dxa"/>
            <w:right w:w="108" w:type="dxa"/>
          </w:tblCellMar>
        </w:tblPrEx>
        <w:trPr>
          <w:trHeight w:val="380" w:hRule="atLeast"/>
        </w:trPr>
        <w:tc>
          <w:tcPr>
            <w:tcW w:w="73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一级指标</w:t>
            </w:r>
          </w:p>
        </w:tc>
        <w:tc>
          <w:tcPr>
            <w:tcW w:w="81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二级指标</w:t>
            </w:r>
          </w:p>
        </w:tc>
        <w:tc>
          <w:tcPr>
            <w:tcW w:w="10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三级指标</w:t>
            </w:r>
          </w:p>
        </w:tc>
        <w:tc>
          <w:tcPr>
            <w:tcW w:w="119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指标性质</w:t>
            </w:r>
          </w:p>
        </w:tc>
        <w:tc>
          <w:tcPr>
            <w:tcW w:w="43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指标方向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年度指标值</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实际完成值</w:t>
            </w:r>
          </w:p>
        </w:tc>
        <w:tc>
          <w:tcPr>
            <w:tcW w:w="11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计量单位</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偏差原因分析及改进措施</w:t>
            </w:r>
          </w:p>
        </w:tc>
      </w:tr>
      <w:tr>
        <w:tblPrEx>
          <w:tblCellMar>
            <w:top w:w="0" w:type="dxa"/>
            <w:left w:w="108" w:type="dxa"/>
            <w:bottom w:w="0" w:type="dxa"/>
            <w:right w:w="108" w:type="dxa"/>
          </w:tblCellMar>
        </w:tblPrEx>
        <w:trPr>
          <w:trHeight w:val="840" w:hRule="atLeast"/>
        </w:trPr>
        <w:tc>
          <w:tcPr>
            <w:tcW w:w="731"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73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81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监督检查次数</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12.00</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次</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纪检组长讲廉政党课次数</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次</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发现问题整改率</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检查合格率</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监督检查时间</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2024年1月至12月</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2024年1月至12月</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问题整改及时率</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118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协助办案经费</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4.60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3.64</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3.96</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5月份纪检组长调动其他单位，经费有其他单位承担。</w:t>
            </w: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项目总成本</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反向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小于等于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5.97</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81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纪检组自身建设水平</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有所提高</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有所提高</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1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营造廉洁勤政氛围</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有效营造</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有效营造</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31"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81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0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派驻纪检组满意度</w:t>
            </w:r>
          </w:p>
        </w:tc>
        <w:tc>
          <w:tcPr>
            <w:tcW w:w="1195"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438"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90.00</w:t>
            </w:r>
          </w:p>
        </w:tc>
        <w:tc>
          <w:tcPr>
            <w:tcW w:w="11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100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98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79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总分</w:t>
            </w:r>
          </w:p>
        </w:tc>
        <w:tc>
          <w:tcPr>
            <w:tcW w:w="100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7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95.48</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bl>
    <w:p>
      <w:pPr>
        <w:widowControl/>
        <w:jc w:val="left"/>
        <w:rPr>
          <w:rFonts w:ascii="仿宋_GB2312" w:eastAsia="仿宋_GB2312" w:hAnsiTheme="majorEastAsia" w:cstheme="majorEastAsia"/>
          <w:color w:val="000000" w:themeColor="text1"/>
          <w:kern w:val="0"/>
          <w:sz w:val="32"/>
          <w:szCs w:val="32"/>
        </w:rPr>
      </w:pPr>
    </w:p>
    <w:tbl>
      <w:tblPr>
        <w:tblStyle w:val="22"/>
        <w:tblW w:w="8880" w:type="dxa"/>
        <w:tblInd w:w="93" w:type="dxa"/>
        <w:tblLayout w:type="autofit"/>
        <w:tblCellMar>
          <w:top w:w="0" w:type="dxa"/>
          <w:left w:w="108" w:type="dxa"/>
          <w:bottom w:w="0" w:type="dxa"/>
          <w:right w:w="108" w:type="dxa"/>
        </w:tblCellMar>
      </w:tblPr>
      <w:tblGrid>
        <w:gridCol w:w="870"/>
        <w:gridCol w:w="728"/>
        <w:gridCol w:w="990"/>
        <w:gridCol w:w="897"/>
        <w:gridCol w:w="589"/>
        <w:gridCol w:w="527"/>
        <w:gridCol w:w="787"/>
        <w:gridCol w:w="846"/>
        <w:gridCol w:w="631"/>
        <w:gridCol w:w="514"/>
        <w:gridCol w:w="776"/>
        <w:gridCol w:w="725"/>
      </w:tblGrid>
      <w:tr>
        <w:tblPrEx>
          <w:tblCellMar>
            <w:top w:w="0" w:type="dxa"/>
            <w:left w:w="108" w:type="dxa"/>
            <w:bottom w:w="0" w:type="dxa"/>
            <w:right w:w="108" w:type="dxa"/>
          </w:tblCellMar>
        </w:tblPrEx>
        <w:trPr>
          <w:trHeight w:val="960" w:hRule="atLeast"/>
        </w:trPr>
        <w:tc>
          <w:tcPr>
            <w:tcW w:w="88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40"/>
                <w:szCs w:val="40"/>
              </w:rPr>
            </w:pPr>
            <w:r>
              <w:rPr>
                <w:rFonts w:hint="eastAsia" w:ascii="宋体" w:hAnsi="宋体" w:cs="宋体"/>
                <w:b/>
                <w:bCs/>
                <w:color w:val="000000"/>
                <w:kern w:val="0"/>
                <w:sz w:val="40"/>
                <w:szCs w:val="40"/>
              </w:rPr>
              <w:t>项目支出绩效自评表</w:t>
            </w:r>
            <w:r>
              <w:rPr>
                <w:rFonts w:hint="eastAsia" w:ascii="宋体" w:hAnsi="宋体" w:cs="宋体"/>
                <w:b/>
                <w:bCs/>
                <w:color w:val="000000"/>
                <w:kern w:val="0"/>
                <w:sz w:val="40"/>
                <w:szCs w:val="40"/>
              </w:rPr>
              <w:br w:type="textWrapping"/>
            </w:r>
            <w:r>
              <w:rPr>
                <w:rFonts w:hint="eastAsia" w:ascii="宋体" w:hAnsi="宋体" w:cs="宋体"/>
                <w:b/>
                <w:bCs/>
                <w:color w:val="000000"/>
                <w:kern w:val="0"/>
                <w:sz w:val="40"/>
                <w:szCs w:val="40"/>
              </w:rPr>
              <w:t>(2025年度）</w:t>
            </w:r>
          </w:p>
        </w:tc>
      </w:tr>
      <w:tr>
        <w:tblPrEx>
          <w:tblCellMar>
            <w:top w:w="0" w:type="dxa"/>
            <w:left w:w="108" w:type="dxa"/>
            <w:bottom w:w="0" w:type="dxa"/>
            <w:right w:w="108" w:type="dxa"/>
          </w:tblCellMar>
        </w:tblPrEx>
        <w:trPr>
          <w:trHeight w:val="38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项目名称</w:t>
            </w:r>
          </w:p>
        </w:tc>
        <w:tc>
          <w:tcPr>
            <w:tcW w:w="7246"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无创产前基因筛查</w:t>
            </w:r>
          </w:p>
        </w:tc>
      </w:tr>
      <w:tr>
        <w:tblPrEx>
          <w:tblCellMar>
            <w:top w:w="0" w:type="dxa"/>
            <w:left w:w="108" w:type="dxa"/>
            <w:bottom w:w="0" w:type="dxa"/>
            <w:right w:w="108" w:type="dxa"/>
          </w:tblCellMar>
        </w:tblPrEx>
        <w:trPr>
          <w:trHeight w:val="380" w:hRule="atLeast"/>
        </w:trPr>
        <w:tc>
          <w:tcPr>
            <w:tcW w:w="164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主管部门</w:t>
            </w:r>
          </w:p>
        </w:tc>
        <w:tc>
          <w:tcPr>
            <w:tcW w:w="304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鄂尔多斯市卫生健康委员会（鄂尔多斯市中医药管理局）（部门）</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实施单位</w:t>
            </w:r>
          </w:p>
        </w:tc>
        <w:tc>
          <w:tcPr>
            <w:tcW w:w="266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鄂尔多斯市中心医院（内蒙古自治区超声影像研究所）</w:t>
            </w:r>
          </w:p>
        </w:tc>
      </w:tr>
      <w:tr>
        <w:tblPrEx>
          <w:tblCellMar>
            <w:top w:w="0" w:type="dxa"/>
            <w:left w:w="108" w:type="dxa"/>
            <w:bottom w:w="0" w:type="dxa"/>
            <w:right w:w="108" w:type="dxa"/>
          </w:tblCellMar>
        </w:tblPrEx>
        <w:trPr>
          <w:trHeight w:val="38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项目资金</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（万元）</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年初预算数</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全年预算数</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全年执行数</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执行率（%）</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trHeight w:val="38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1149.89</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1149.89</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1139.38</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99.09</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9.91</w:t>
            </w:r>
          </w:p>
        </w:tc>
      </w:tr>
      <w:tr>
        <w:tblPrEx>
          <w:tblCellMar>
            <w:top w:w="0" w:type="dxa"/>
            <w:left w:w="108" w:type="dxa"/>
            <w:bottom w:w="0" w:type="dxa"/>
            <w:right w:w="108" w:type="dxa"/>
          </w:tblCellMar>
        </w:tblPrEx>
        <w:trPr>
          <w:trHeight w:val="38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1149.89</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1149.89</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1139.38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99.09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上年结转资金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1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53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2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64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年度总体目标</w:t>
            </w:r>
          </w:p>
        </w:tc>
        <w:tc>
          <w:tcPr>
            <w:tcW w:w="38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预期目标</w:t>
            </w:r>
          </w:p>
        </w:tc>
        <w:tc>
          <w:tcPr>
            <w:tcW w:w="33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实际完成情况</w:t>
            </w:r>
          </w:p>
        </w:tc>
      </w:tr>
      <w:tr>
        <w:tblPrEx>
          <w:tblCellMar>
            <w:top w:w="0" w:type="dxa"/>
            <w:left w:w="108" w:type="dxa"/>
            <w:bottom w:w="0" w:type="dxa"/>
            <w:right w:w="108" w:type="dxa"/>
          </w:tblCellMar>
        </w:tblPrEx>
        <w:trPr>
          <w:trHeight w:val="1120" w:hRule="atLeast"/>
        </w:trPr>
        <w:tc>
          <w:tcPr>
            <w:tcW w:w="164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849"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建立科学规范的的产前筛查制度，提高产前筛查率，通过早发现、早诊断、早干预，有效预防和控制出生缺陷，进一步提高出生人口素质。</w:t>
            </w:r>
          </w:p>
        </w:tc>
        <w:tc>
          <w:tcPr>
            <w:tcW w:w="339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xml:space="preserve"> 已完成</w:t>
            </w:r>
          </w:p>
        </w:tc>
      </w:tr>
      <w:tr>
        <w:tblPrEx>
          <w:tblCellMar>
            <w:top w:w="0" w:type="dxa"/>
            <w:left w:w="108" w:type="dxa"/>
            <w:bottom w:w="0" w:type="dxa"/>
            <w:right w:w="108" w:type="dxa"/>
          </w:tblCellMar>
        </w:tblPrEx>
        <w:trPr>
          <w:trHeight w:val="380" w:hRule="atLeast"/>
        </w:trPr>
        <w:tc>
          <w:tcPr>
            <w:tcW w:w="8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74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一级指标</w:t>
            </w:r>
          </w:p>
        </w:tc>
        <w:tc>
          <w:tcPr>
            <w:tcW w:w="10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二级指标</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三级指标</w:t>
            </w:r>
          </w:p>
        </w:tc>
        <w:tc>
          <w:tcPr>
            <w:tcW w:w="5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指标性质</w:t>
            </w:r>
          </w:p>
        </w:tc>
        <w:tc>
          <w:tcPr>
            <w:tcW w:w="5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指标方向</w:t>
            </w:r>
          </w:p>
        </w:tc>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年度指标值</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计量单位</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偏差原因分析及改进措施</w:t>
            </w:r>
          </w:p>
        </w:tc>
      </w:tr>
      <w:tr>
        <w:tblPrEx>
          <w:tblCellMar>
            <w:top w:w="0" w:type="dxa"/>
            <w:left w:w="108" w:type="dxa"/>
            <w:bottom w:w="0" w:type="dxa"/>
            <w:right w:w="108" w:type="dxa"/>
          </w:tblCellMar>
        </w:tblPrEx>
        <w:trPr>
          <w:trHeight w:val="840" w:hRule="atLeast"/>
        </w:trPr>
        <w:tc>
          <w:tcPr>
            <w:tcW w:w="89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74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10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项目开展宣传人次</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500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600.00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w:t>
            </w: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项目检测人数</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w:t>
            </w: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4000.00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w:t>
            </w: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项目开展宣传知晓率</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项目检测完成率</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项目起始时间</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2024年4月</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2024年4月</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项目宣传起始时间</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2024年4月</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2024年4月</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医用耗材试剂补助</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360</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108.87</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2.12</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宣传印刷费</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2.10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10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宣传妇幼健康知识提高健康意识</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长期提高</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提高妇幼健康意识</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持续提高</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4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10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9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患者满意度</w:t>
            </w:r>
          </w:p>
        </w:tc>
        <w:tc>
          <w:tcPr>
            <w:tcW w:w="5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53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8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98</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6863"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总分</w:t>
            </w:r>
          </w:p>
        </w:tc>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7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95.03</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bl>
    <w:p>
      <w:pPr>
        <w:topLinePunct/>
        <w:spacing w:line="520" w:lineRule="exact"/>
        <w:ind w:firstLine="640" w:firstLineChars="200"/>
        <w:rPr>
          <w:rFonts w:ascii="仿宋_GB2312" w:eastAsia="仿宋_GB2312" w:hAnsiTheme="majorEastAsia" w:cstheme="majorEastAsia"/>
          <w:color w:val="000000" w:themeColor="text1"/>
          <w:kern w:val="0"/>
          <w:sz w:val="32"/>
          <w:szCs w:val="32"/>
        </w:rPr>
      </w:pPr>
    </w:p>
    <w:tbl>
      <w:tblPr>
        <w:tblStyle w:val="22"/>
        <w:tblW w:w="10020" w:type="dxa"/>
        <w:tblInd w:w="93" w:type="dxa"/>
        <w:tblLayout w:type="autofit"/>
        <w:tblCellMar>
          <w:top w:w="0" w:type="dxa"/>
          <w:left w:w="108" w:type="dxa"/>
          <w:bottom w:w="0" w:type="dxa"/>
          <w:right w:w="108" w:type="dxa"/>
        </w:tblCellMar>
      </w:tblPr>
      <w:tblGrid>
        <w:gridCol w:w="799"/>
        <w:gridCol w:w="882"/>
        <w:gridCol w:w="716"/>
        <w:gridCol w:w="982"/>
        <w:gridCol w:w="883"/>
        <w:gridCol w:w="715"/>
        <w:gridCol w:w="616"/>
        <w:gridCol w:w="998"/>
        <w:gridCol w:w="683"/>
        <w:gridCol w:w="932"/>
        <w:gridCol w:w="782"/>
        <w:gridCol w:w="1032"/>
      </w:tblGrid>
      <w:tr>
        <w:tblPrEx>
          <w:tblCellMar>
            <w:top w:w="0" w:type="dxa"/>
            <w:left w:w="108" w:type="dxa"/>
            <w:bottom w:w="0" w:type="dxa"/>
            <w:right w:w="108" w:type="dxa"/>
          </w:tblCellMar>
        </w:tblPrEx>
        <w:trPr>
          <w:trHeight w:val="960" w:hRule="atLeast"/>
        </w:trPr>
        <w:tc>
          <w:tcPr>
            <w:tcW w:w="10028"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40"/>
                <w:szCs w:val="40"/>
              </w:rPr>
            </w:pPr>
            <w:r>
              <w:rPr>
                <w:rFonts w:hint="eastAsia" w:ascii="宋体" w:hAnsi="宋体" w:cs="宋体"/>
                <w:b/>
                <w:bCs/>
                <w:color w:val="000000"/>
                <w:kern w:val="0"/>
                <w:sz w:val="40"/>
                <w:szCs w:val="40"/>
              </w:rPr>
              <w:t>项目支出绩效自评表</w:t>
            </w:r>
            <w:r>
              <w:rPr>
                <w:rFonts w:hint="eastAsia" w:ascii="宋体" w:hAnsi="宋体" w:cs="宋体"/>
                <w:b/>
                <w:bCs/>
                <w:color w:val="000000"/>
                <w:kern w:val="0"/>
                <w:sz w:val="40"/>
                <w:szCs w:val="40"/>
              </w:rPr>
              <w:br w:type="textWrapping"/>
            </w:r>
            <w:r>
              <w:rPr>
                <w:rFonts w:hint="eastAsia" w:ascii="宋体" w:hAnsi="宋体" w:cs="宋体"/>
                <w:b/>
                <w:bCs/>
                <w:color w:val="000000"/>
                <w:kern w:val="0"/>
                <w:sz w:val="40"/>
                <w:szCs w:val="40"/>
              </w:rPr>
              <w:t>(2025年度）</w:t>
            </w:r>
          </w:p>
        </w:tc>
      </w:tr>
      <w:tr>
        <w:tblPrEx>
          <w:tblCellMar>
            <w:top w:w="0" w:type="dxa"/>
            <w:left w:w="108" w:type="dxa"/>
            <w:bottom w:w="0" w:type="dxa"/>
            <w:right w:w="108" w:type="dxa"/>
          </w:tblCellMar>
        </w:tblPrEx>
        <w:trPr>
          <w:trHeight w:val="380" w:hRule="atLeast"/>
        </w:trPr>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项目名称</w:t>
            </w:r>
          </w:p>
        </w:tc>
        <w:tc>
          <w:tcPr>
            <w:tcW w:w="834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包联驻村工作经费</w:t>
            </w:r>
          </w:p>
        </w:tc>
      </w:tr>
      <w:tr>
        <w:tblPrEx>
          <w:tblCellMar>
            <w:top w:w="0" w:type="dxa"/>
            <w:left w:w="108" w:type="dxa"/>
            <w:bottom w:w="0" w:type="dxa"/>
            <w:right w:w="108" w:type="dxa"/>
          </w:tblCellMar>
        </w:tblPrEx>
        <w:trPr>
          <w:trHeight w:val="380" w:hRule="atLeast"/>
        </w:trPr>
        <w:tc>
          <w:tcPr>
            <w:tcW w:w="168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主管部门</w:t>
            </w:r>
          </w:p>
        </w:tc>
        <w:tc>
          <w:tcPr>
            <w:tcW w:w="329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鄂尔多斯市卫生健康委员会（鄂尔多斯市中医药管理局）（部门）</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实施单位</w:t>
            </w:r>
          </w:p>
        </w:tc>
        <w:tc>
          <w:tcPr>
            <w:tcW w:w="34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鄂尔多斯市中心医院（内蒙古自治区超声影像研究所）</w:t>
            </w:r>
          </w:p>
        </w:tc>
      </w:tr>
      <w:tr>
        <w:tblPrEx>
          <w:tblCellMar>
            <w:top w:w="0" w:type="dxa"/>
            <w:left w:w="108" w:type="dxa"/>
            <w:bottom w:w="0" w:type="dxa"/>
            <w:right w:w="108" w:type="dxa"/>
          </w:tblCellMar>
        </w:tblPrEx>
        <w:trPr>
          <w:trHeight w:val="380" w:hRule="atLeast"/>
        </w:trPr>
        <w:tc>
          <w:tcPr>
            <w:tcW w:w="16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项目资金</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（万元）</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年初预算数</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全年预算数</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全年执行数</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1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执行率（%）</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trHeight w:val="380" w:hRule="atLeast"/>
        </w:trPr>
        <w:tc>
          <w:tcPr>
            <w:tcW w:w="16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9.4</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94</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9.4</w:t>
            </w:r>
          </w:p>
        </w:tc>
      </w:tr>
      <w:tr>
        <w:tblPrEx>
          <w:tblCellMar>
            <w:top w:w="0" w:type="dxa"/>
            <w:left w:w="108" w:type="dxa"/>
            <w:bottom w:w="0" w:type="dxa"/>
            <w:right w:w="108" w:type="dxa"/>
          </w:tblCellMar>
        </w:tblPrEx>
        <w:trPr>
          <w:trHeight w:val="380" w:hRule="atLeast"/>
        </w:trPr>
        <w:tc>
          <w:tcPr>
            <w:tcW w:w="16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6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上年结转资金</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6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0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6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7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68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年度总体目标</w:t>
            </w:r>
          </w:p>
        </w:tc>
        <w:tc>
          <w:tcPr>
            <w:tcW w:w="39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预期目标</w:t>
            </w:r>
          </w:p>
        </w:tc>
        <w:tc>
          <w:tcPr>
            <w:tcW w:w="44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实际完成情况</w:t>
            </w:r>
          </w:p>
        </w:tc>
      </w:tr>
      <w:tr>
        <w:tblPrEx>
          <w:tblCellMar>
            <w:top w:w="0" w:type="dxa"/>
            <w:left w:w="108" w:type="dxa"/>
            <w:bottom w:w="0" w:type="dxa"/>
            <w:right w:w="108" w:type="dxa"/>
          </w:tblCellMar>
        </w:tblPrEx>
        <w:trPr>
          <w:trHeight w:val="1120" w:hRule="atLeast"/>
        </w:trPr>
        <w:tc>
          <w:tcPr>
            <w:tcW w:w="168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391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完成2024年包联驻村各项工作，做好巩固拓展脱贫攻坚与乡村振兴的有效衔接。</w:t>
            </w:r>
          </w:p>
        </w:tc>
        <w:tc>
          <w:tcPr>
            <w:tcW w:w="443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已完成</w:t>
            </w:r>
          </w:p>
        </w:tc>
      </w:tr>
      <w:tr>
        <w:tblPrEx>
          <w:tblCellMar>
            <w:top w:w="0" w:type="dxa"/>
            <w:left w:w="108" w:type="dxa"/>
            <w:bottom w:w="0" w:type="dxa"/>
            <w:right w:w="108" w:type="dxa"/>
          </w:tblCellMar>
        </w:tblPrEx>
        <w:trPr>
          <w:trHeight w:val="380" w:hRule="atLeast"/>
        </w:trPr>
        <w:tc>
          <w:tcPr>
            <w:tcW w:w="8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8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一级指标</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二级指标</w:t>
            </w:r>
          </w:p>
        </w:tc>
        <w:tc>
          <w:tcPr>
            <w:tcW w:w="9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三级指标</w:t>
            </w:r>
          </w:p>
        </w:tc>
        <w:tc>
          <w:tcPr>
            <w:tcW w:w="88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指标性质</w:t>
            </w:r>
          </w:p>
        </w:tc>
        <w:tc>
          <w:tcPr>
            <w:tcW w:w="7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指标方向</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年度指标值</w:t>
            </w:r>
          </w:p>
        </w:tc>
        <w:tc>
          <w:tcPr>
            <w:tcW w:w="9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实际完成值</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计量单位</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偏差原因分析及改进措施</w:t>
            </w:r>
          </w:p>
        </w:tc>
      </w:tr>
      <w:tr>
        <w:tblPrEx>
          <w:tblCellMar>
            <w:top w:w="0" w:type="dxa"/>
            <w:left w:w="108" w:type="dxa"/>
            <w:bottom w:w="0" w:type="dxa"/>
            <w:right w:w="108" w:type="dxa"/>
          </w:tblCellMar>
        </w:tblPrEx>
        <w:trPr>
          <w:trHeight w:val="840" w:hRule="atLeast"/>
        </w:trPr>
        <w:tc>
          <w:tcPr>
            <w:tcW w:w="800"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88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7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为民办实事件数</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件</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村集体收入项目数量</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村集体项目合规率</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村集体项目完成率</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完成项目时限</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反向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每月驻村天数</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22.00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天</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驻村工作队年补助金额</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反向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驻村补助及其他开支金额合计</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反向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经济效益指标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村集体营业收入增加</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16.00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脱贫户公益性岗位数</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个</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生态效益指标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确保农村饮水安全</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稳步提升</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逐步提升</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耕地的可持续利用</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逐步提升</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逐步提升</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00"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8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9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群众满意度</w:t>
            </w:r>
          </w:p>
        </w:tc>
        <w:tc>
          <w:tcPr>
            <w:tcW w:w="884"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7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w:t>
            </w:r>
          </w:p>
        </w:tc>
        <w:tc>
          <w:tcPr>
            <w:tcW w:w="9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80.00</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9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0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28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总分</w:t>
            </w:r>
          </w:p>
        </w:tc>
        <w:tc>
          <w:tcPr>
            <w:tcW w:w="9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99.40</w:t>
            </w:r>
          </w:p>
        </w:tc>
        <w:tc>
          <w:tcPr>
            <w:tcW w:w="103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bl>
    <w:p>
      <w:pPr>
        <w:topLinePunct/>
        <w:spacing w:line="520" w:lineRule="exact"/>
        <w:ind w:firstLine="640" w:firstLineChars="200"/>
        <w:rPr>
          <w:rFonts w:ascii="Times New Roman Regular" w:hAnsi="Times New Roman Regular" w:eastAsia="仿宋" w:cs="Times New Roman Regular"/>
          <w:sz w:val="32"/>
          <w:szCs w:val="32"/>
        </w:rPr>
      </w:pPr>
    </w:p>
    <w:tbl>
      <w:tblPr>
        <w:tblStyle w:val="22"/>
        <w:tblW w:w="9435" w:type="dxa"/>
        <w:tblInd w:w="93" w:type="dxa"/>
        <w:tblLayout w:type="autofit"/>
        <w:tblCellMar>
          <w:top w:w="0" w:type="dxa"/>
          <w:left w:w="108" w:type="dxa"/>
          <w:bottom w:w="0" w:type="dxa"/>
          <w:right w:w="108" w:type="dxa"/>
        </w:tblCellMar>
      </w:tblPr>
      <w:tblGrid>
        <w:gridCol w:w="756"/>
        <w:gridCol w:w="691"/>
        <w:gridCol w:w="680"/>
        <w:gridCol w:w="1114"/>
        <w:gridCol w:w="951"/>
        <w:gridCol w:w="595"/>
        <w:gridCol w:w="910"/>
        <w:gridCol w:w="936"/>
        <w:gridCol w:w="632"/>
        <w:gridCol w:w="565"/>
        <w:gridCol w:w="779"/>
        <w:gridCol w:w="826"/>
      </w:tblGrid>
      <w:tr>
        <w:tblPrEx>
          <w:tblCellMar>
            <w:top w:w="0" w:type="dxa"/>
            <w:left w:w="108" w:type="dxa"/>
            <w:bottom w:w="0" w:type="dxa"/>
            <w:right w:w="108" w:type="dxa"/>
          </w:tblCellMar>
        </w:tblPrEx>
        <w:trPr>
          <w:trHeight w:val="960" w:hRule="atLeast"/>
        </w:trPr>
        <w:tc>
          <w:tcPr>
            <w:tcW w:w="9443"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40"/>
                <w:szCs w:val="40"/>
              </w:rPr>
            </w:pPr>
            <w:r>
              <w:rPr>
                <w:rFonts w:hint="eastAsia" w:ascii="宋体" w:hAnsi="宋体" w:cs="宋体"/>
                <w:b/>
                <w:bCs/>
                <w:color w:val="000000"/>
                <w:kern w:val="0"/>
                <w:sz w:val="40"/>
                <w:szCs w:val="40"/>
              </w:rPr>
              <w:t>项目支出绩效自评表</w:t>
            </w:r>
            <w:r>
              <w:rPr>
                <w:rFonts w:hint="eastAsia" w:ascii="宋体" w:hAnsi="宋体" w:cs="宋体"/>
                <w:b/>
                <w:bCs/>
                <w:color w:val="000000"/>
                <w:kern w:val="0"/>
                <w:sz w:val="40"/>
                <w:szCs w:val="40"/>
              </w:rPr>
              <w:br w:type="textWrapping"/>
            </w:r>
            <w:r>
              <w:rPr>
                <w:rFonts w:hint="eastAsia" w:ascii="宋体" w:hAnsi="宋体" w:cs="宋体"/>
                <w:b/>
                <w:bCs/>
                <w:color w:val="000000"/>
                <w:kern w:val="0"/>
                <w:sz w:val="40"/>
                <w:szCs w:val="40"/>
              </w:rPr>
              <w:t>(2025年度）</w:t>
            </w:r>
          </w:p>
        </w:tc>
      </w:tr>
      <w:tr>
        <w:tblPrEx>
          <w:tblCellMar>
            <w:top w:w="0" w:type="dxa"/>
            <w:left w:w="108" w:type="dxa"/>
            <w:bottom w:w="0" w:type="dxa"/>
            <w:right w:w="108" w:type="dxa"/>
          </w:tblCellMar>
        </w:tblPrEx>
        <w:trPr>
          <w:trHeight w:val="380" w:hRule="atLeast"/>
        </w:trPr>
        <w:tc>
          <w:tcPr>
            <w:tcW w:w="1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项目名称</w:t>
            </w:r>
          </w:p>
        </w:tc>
        <w:tc>
          <w:tcPr>
            <w:tcW w:w="79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重大传染病防控经费（城市癌症早诊早治项目）</w:t>
            </w:r>
          </w:p>
        </w:tc>
      </w:tr>
      <w:tr>
        <w:tblPrEx>
          <w:tblCellMar>
            <w:top w:w="0" w:type="dxa"/>
            <w:left w:w="108" w:type="dxa"/>
            <w:bottom w:w="0" w:type="dxa"/>
            <w:right w:w="108" w:type="dxa"/>
          </w:tblCellMar>
        </w:tblPrEx>
        <w:trPr>
          <w:trHeight w:val="380" w:hRule="atLeast"/>
        </w:trPr>
        <w:tc>
          <w:tcPr>
            <w:tcW w:w="14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主管部门</w:t>
            </w:r>
          </w:p>
        </w:tc>
        <w:tc>
          <w:tcPr>
            <w:tcW w:w="338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鄂尔多斯市卫生健康委员会（鄂尔多斯市中医药管理局）（部门）</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实施单位</w:t>
            </w:r>
          </w:p>
        </w:tc>
        <w:tc>
          <w:tcPr>
            <w:tcW w:w="281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鄂尔多斯市中心医院（内蒙古自治区超声影像研究所）</w:t>
            </w:r>
          </w:p>
        </w:tc>
      </w:tr>
      <w:tr>
        <w:tblPrEx>
          <w:tblCellMar>
            <w:top w:w="0" w:type="dxa"/>
            <w:left w:w="108" w:type="dxa"/>
            <w:bottom w:w="0" w:type="dxa"/>
            <w:right w:w="108" w:type="dxa"/>
          </w:tblCellMar>
        </w:tblPrEx>
        <w:trPr>
          <w:trHeight w:val="380" w:hRule="atLeast"/>
        </w:trPr>
        <w:tc>
          <w:tcPr>
            <w:tcW w:w="14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项目资金</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（万元）</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年初预算数</w:t>
            </w: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全年预算数</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全年执行数</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1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执行率（%）</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trHeight w:val="380" w:hRule="atLeast"/>
        </w:trPr>
        <w:tc>
          <w:tcPr>
            <w:tcW w:w="14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44</w:t>
            </w: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44</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42.07</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95.61</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9.56</w:t>
            </w:r>
          </w:p>
        </w:tc>
      </w:tr>
      <w:tr>
        <w:tblPrEx>
          <w:tblCellMar>
            <w:top w:w="0" w:type="dxa"/>
            <w:left w:w="108" w:type="dxa"/>
            <w:bottom w:w="0" w:type="dxa"/>
            <w:right w:w="108" w:type="dxa"/>
          </w:tblCellMar>
        </w:tblPrEx>
        <w:trPr>
          <w:trHeight w:val="380" w:hRule="atLeast"/>
        </w:trPr>
        <w:tc>
          <w:tcPr>
            <w:tcW w:w="14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44</w:t>
            </w: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44</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42.07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4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上年结转资金</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4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7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34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465"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年度总体目标</w:t>
            </w:r>
          </w:p>
        </w:tc>
        <w:tc>
          <w:tcPr>
            <w:tcW w:w="42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预期目标</w:t>
            </w:r>
          </w:p>
        </w:tc>
        <w:tc>
          <w:tcPr>
            <w:tcW w:w="36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实际完成情况</w:t>
            </w:r>
          </w:p>
        </w:tc>
      </w:tr>
      <w:tr>
        <w:tblPrEx>
          <w:tblCellMar>
            <w:top w:w="0" w:type="dxa"/>
            <w:left w:w="108" w:type="dxa"/>
            <w:bottom w:w="0" w:type="dxa"/>
            <w:right w:w="108" w:type="dxa"/>
          </w:tblCellMar>
        </w:tblPrEx>
        <w:trPr>
          <w:trHeight w:val="1120" w:hRule="atLeast"/>
        </w:trPr>
        <w:tc>
          <w:tcPr>
            <w:tcW w:w="1465"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429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肺癌294例，肝癌42例，乳腺252例，上消化道126例，结直肠126例</w:t>
            </w:r>
          </w:p>
        </w:tc>
        <w:tc>
          <w:tcPr>
            <w:tcW w:w="368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xml:space="preserve"> 肺癌294例，肝癌42例，乳腺癌252例，上消化道126例，结直肠126例。</w:t>
            </w:r>
          </w:p>
        </w:tc>
      </w:tr>
      <w:tr>
        <w:tblPrEx>
          <w:tblCellMar>
            <w:top w:w="0" w:type="dxa"/>
            <w:left w:w="108" w:type="dxa"/>
            <w:bottom w:w="0" w:type="dxa"/>
            <w:right w:w="108" w:type="dxa"/>
          </w:tblCellMar>
        </w:tblPrEx>
        <w:trPr>
          <w:trHeight w:val="3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一级指标</w:t>
            </w:r>
          </w:p>
        </w:tc>
        <w:tc>
          <w:tcPr>
            <w:tcW w:w="6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二级指标</w:t>
            </w:r>
          </w:p>
        </w:tc>
        <w:tc>
          <w:tcPr>
            <w:tcW w:w="11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三级指标</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指标性质</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指标方向</w:t>
            </w:r>
          </w:p>
        </w:tc>
        <w:tc>
          <w:tcPr>
            <w:tcW w:w="9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年度指标值</w:t>
            </w:r>
          </w:p>
        </w:tc>
        <w:tc>
          <w:tcPr>
            <w:tcW w:w="8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实际完成值</w:t>
            </w:r>
          </w:p>
        </w:tc>
        <w:tc>
          <w:tcPr>
            <w:tcW w:w="6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计量单位</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偏差原因分析及改进措施</w:t>
            </w:r>
          </w:p>
        </w:tc>
      </w:tr>
      <w:tr>
        <w:tblPrEx>
          <w:tblCellMar>
            <w:top w:w="0" w:type="dxa"/>
            <w:left w:w="108" w:type="dxa"/>
            <w:bottom w:w="0" w:type="dxa"/>
            <w:right w:w="108" w:type="dxa"/>
          </w:tblCellMar>
        </w:tblPrEx>
        <w:trPr>
          <w:trHeight w:val="840" w:hRule="atLeast"/>
        </w:trPr>
        <w:tc>
          <w:tcPr>
            <w:tcW w:w="76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69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68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院内筛查人数</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840</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840.00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院内筛查数据上传人数</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840</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840.00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院内筛查任务完成率</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工作完成率</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7.5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资金支出率</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95.61</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项目工作完成率</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90</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设备材料费用</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56202</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55644.00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元</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4.95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项目总金额</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44</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42.07</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4.78</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提高居民防范意识</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逐步提高</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居民癌症发生率降低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不断被提高</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提高</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6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1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60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w:t>
            </w:r>
          </w:p>
        </w:tc>
        <w:tc>
          <w:tcPr>
            <w:tcW w:w="8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85.00</w:t>
            </w:r>
          </w:p>
        </w:tc>
        <w:tc>
          <w:tcPr>
            <w:tcW w:w="6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5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78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832"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2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总分</w:t>
            </w:r>
          </w:p>
        </w:tc>
        <w:tc>
          <w:tcPr>
            <w:tcW w:w="5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99.29</w:t>
            </w:r>
          </w:p>
        </w:tc>
        <w:tc>
          <w:tcPr>
            <w:tcW w:w="83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bl>
    <w:p>
      <w:pPr>
        <w:topLinePunct/>
        <w:spacing w:line="520" w:lineRule="exact"/>
        <w:ind w:firstLine="640" w:firstLineChars="200"/>
        <w:rPr>
          <w:rFonts w:ascii="Times New Roman Regular" w:hAnsi="Times New Roman Regular" w:eastAsia="仿宋" w:cs="Times New Roman Regular"/>
          <w:sz w:val="32"/>
          <w:szCs w:val="32"/>
        </w:rPr>
      </w:pPr>
    </w:p>
    <w:tbl>
      <w:tblPr>
        <w:tblStyle w:val="22"/>
        <w:tblW w:w="10560" w:type="dxa"/>
        <w:tblInd w:w="93" w:type="dxa"/>
        <w:tblLayout w:type="autofit"/>
        <w:tblCellMar>
          <w:top w:w="0" w:type="dxa"/>
          <w:left w:w="108" w:type="dxa"/>
          <w:bottom w:w="0" w:type="dxa"/>
          <w:right w:w="108" w:type="dxa"/>
        </w:tblCellMar>
      </w:tblPr>
      <w:tblGrid>
        <w:gridCol w:w="758"/>
        <w:gridCol w:w="611"/>
        <w:gridCol w:w="729"/>
        <w:gridCol w:w="1076"/>
        <w:gridCol w:w="790"/>
        <w:gridCol w:w="1051"/>
        <w:gridCol w:w="953"/>
        <w:gridCol w:w="1336"/>
        <w:gridCol w:w="1072"/>
        <w:gridCol w:w="726"/>
        <w:gridCol w:w="862"/>
        <w:gridCol w:w="596"/>
      </w:tblGrid>
      <w:tr>
        <w:tblPrEx>
          <w:tblCellMar>
            <w:top w:w="0" w:type="dxa"/>
            <w:left w:w="108" w:type="dxa"/>
            <w:bottom w:w="0" w:type="dxa"/>
            <w:right w:w="108" w:type="dxa"/>
          </w:tblCellMar>
        </w:tblPrEx>
        <w:trPr>
          <w:trHeight w:val="960" w:hRule="atLeast"/>
        </w:trPr>
        <w:tc>
          <w:tcPr>
            <w:tcW w:w="10560"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b/>
                <w:bCs/>
                <w:color w:val="000000"/>
                <w:sz w:val="40"/>
                <w:szCs w:val="40"/>
              </w:rPr>
            </w:pPr>
            <w:r>
              <w:rPr>
                <w:rFonts w:hint="eastAsia" w:ascii="宋体" w:hAnsi="宋体" w:cs="宋体"/>
                <w:b/>
                <w:bCs/>
                <w:color w:val="000000"/>
                <w:kern w:val="0"/>
                <w:sz w:val="40"/>
                <w:szCs w:val="40"/>
              </w:rPr>
              <w:t>项目支出绩效自评表</w:t>
            </w:r>
            <w:r>
              <w:rPr>
                <w:rFonts w:hint="eastAsia" w:ascii="宋体" w:hAnsi="宋体" w:cs="宋体"/>
                <w:b/>
                <w:bCs/>
                <w:color w:val="000000"/>
                <w:kern w:val="0"/>
                <w:sz w:val="40"/>
                <w:szCs w:val="40"/>
              </w:rPr>
              <w:br w:type="textWrapping"/>
            </w:r>
            <w:r>
              <w:rPr>
                <w:rFonts w:hint="eastAsia" w:ascii="宋体" w:hAnsi="宋体" w:cs="宋体"/>
                <w:b/>
                <w:bCs/>
                <w:color w:val="000000"/>
                <w:kern w:val="0"/>
                <w:sz w:val="40"/>
                <w:szCs w:val="40"/>
              </w:rPr>
              <w:t>(2025年度）</w:t>
            </w:r>
          </w:p>
        </w:tc>
      </w:tr>
      <w:tr>
        <w:tblPrEx>
          <w:tblCellMar>
            <w:top w:w="0" w:type="dxa"/>
            <w:left w:w="108" w:type="dxa"/>
            <w:bottom w:w="0" w:type="dxa"/>
            <w:right w:w="108" w:type="dxa"/>
          </w:tblCellMar>
        </w:tblPrEx>
        <w:trPr>
          <w:trHeight w:val="380" w:hRule="atLeast"/>
        </w:trPr>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项目名称</w:t>
            </w:r>
          </w:p>
        </w:tc>
        <w:tc>
          <w:tcPr>
            <w:tcW w:w="917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医疗服务与保障能力提升（卫生健康人才培养）补助资金（住院医师规范化培训）</w:t>
            </w:r>
          </w:p>
        </w:tc>
      </w:tr>
      <w:tr>
        <w:tblPrEx>
          <w:tblCellMar>
            <w:top w:w="0" w:type="dxa"/>
            <w:left w:w="108" w:type="dxa"/>
            <w:bottom w:w="0" w:type="dxa"/>
            <w:right w:w="108" w:type="dxa"/>
          </w:tblCellMar>
        </w:tblPrEx>
        <w:trPr>
          <w:trHeight w:val="380" w:hRule="atLeast"/>
        </w:trPr>
        <w:tc>
          <w:tcPr>
            <w:tcW w:w="138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主管部门</w:t>
            </w:r>
          </w:p>
        </w:tc>
        <w:tc>
          <w:tcPr>
            <w:tcW w:w="36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鄂尔多斯市卫生健康委员会（鄂尔多斯市中医药管理局）（部门）</w:t>
            </w:r>
          </w:p>
        </w:tc>
        <w:tc>
          <w:tcPr>
            <w:tcW w:w="2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right"/>
              <w:textAlignment w:val="center"/>
              <w:rPr>
                <w:rFonts w:ascii="宋体" w:hAnsi="宋体" w:cs="宋体"/>
                <w:color w:val="000000"/>
                <w:sz w:val="18"/>
                <w:szCs w:val="18"/>
              </w:rPr>
            </w:pPr>
            <w:r>
              <w:rPr>
                <w:rFonts w:hint="eastAsia" w:ascii="宋体" w:hAnsi="宋体" w:cs="宋体"/>
                <w:color w:val="000000"/>
                <w:kern w:val="0"/>
                <w:sz w:val="18"/>
                <w:szCs w:val="18"/>
              </w:rPr>
              <w:t>实施单位</w:t>
            </w:r>
          </w:p>
        </w:tc>
        <w:tc>
          <w:tcPr>
            <w:tcW w:w="318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鄂尔多斯市中心医院（内蒙古自治区超声影像研究所）</w:t>
            </w:r>
          </w:p>
        </w:tc>
      </w:tr>
      <w:tr>
        <w:tblPrEx>
          <w:tblCellMar>
            <w:top w:w="0" w:type="dxa"/>
            <w:left w:w="108" w:type="dxa"/>
            <w:bottom w:w="0" w:type="dxa"/>
            <w:right w:w="108" w:type="dxa"/>
          </w:tblCellMar>
        </w:tblPrEx>
        <w:trPr>
          <w:trHeight w:val="380" w:hRule="atLeast"/>
        </w:trPr>
        <w:tc>
          <w:tcPr>
            <w:tcW w:w="13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项目资金</w:t>
            </w:r>
            <w:r>
              <w:rPr>
                <w:rFonts w:hint="eastAsia" w:ascii="宋体" w:hAnsi="宋体" w:cs="宋体"/>
                <w:color w:val="000000"/>
                <w:kern w:val="0"/>
                <w:sz w:val="18"/>
                <w:szCs w:val="18"/>
              </w:rPr>
              <w:br w:type="textWrapping"/>
            </w:r>
            <w:r>
              <w:rPr>
                <w:rFonts w:hint="eastAsia" w:ascii="宋体" w:hAnsi="宋体" w:cs="宋体"/>
                <w:color w:val="000000"/>
                <w:kern w:val="0"/>
                <w:sz w:val="18"/>
                <w:szCs w:val="18"/>
              </w:rPr>
              <w:t>（万元）</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ascii="宋体" w:hAnsi="宋体" w:cs="宋体"/>
                <w:color w:val="000000"/>
                <w:sz w:val="18"/>
                <w:szCs w:val="18"/>
              </w:rPr>
            </w:pP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年初预算数</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全年预算数</w:t>
            </w:r>
          </w:p>
        </w:tc>
        <w:tc>
          <w:tcPr>
            <w:tcW w:w="2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全年执行数</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1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执行率（%）</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r>
      <w:tr>
        <w:tblPrEx>
          <w:tblCellMar>
            <w:top w:w="0" w:type="dxa"/>
            <w:left w:w="108" w:type="dxa"/>
            <w:bottom w:w="0" w:type="dxa"/>
            <w:right w:w="108" w:type="dxa"/>
          </w:tblCellMar>
        </w:tblPrEx>
        <w:trPr>
          <w:trHeight w:val="380" w:hRule="atLeast"/>
        </w:trPr>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年度资金总额</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503.33</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503.33</w:t>
            </w:r>
          </w:p>
        </w:tc>
        <w:tc>
          <w:tcPr>
            <w:tcW w:w="2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491.84</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97.72</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9.77</w:t>
            </w:r>
          </w:p>
        </w:tc>
      </w:tr>
      <w:tr>
        <w:tblPrEx>
          <w:tblCellMar>
            <w:top w:w="0" w:type="dxa"/>
            <w:left w:w="108" w:type="dxa"/>
            <w:bottom w:w="0" w:type="dxa"/>
            <w:right w:w="108" w:type="dxa"/>
          </w:tblCellMar>
        </w:tblPrEx>
        <w:trPr>
          <w:trHeight w:val="380" w:hRule="atLeast"/>
        </w:trPr>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其中：财政拨款</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503.33</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503.33</w:t>
            </w:r>
          </w:p>
        </w:tc>
        <w:tc>
          <w:tcPr>
            <w:tcW w:w="2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491.84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97.72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上年结转资金</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2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其他资金</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18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23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c>
          <w:tcPr>
            <w:tcW w:w="159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Arial" w:hAnsi="Arial" w:cs="Arial"/>
                <w:color w:val="222222"/>
                <w:sz w:val="19"/>
                <w:szCs w:val="19"/>
              </w:rPr>
            </w:pPr>
            <w:r>
              <w:rPr>
                <w:rFonts w:ascii="Arial" w:hAnsi="Arial" w:cs="Arial"/>
                <w:color w:val="222222"/>
                <w:kern w:val="0"/>
                <w:sz w:val="19"/>
                <w:szCs w:val="19"/>
              </w:rPr>
              <w:t>——</w:t>
            </w:r>
          </w:p>
        </w:tc>
      </w:tr>
      <w:tr>
        <w:tblPrEx>
          <w:tblCellMar>
            <w:top w:w="0" w:type="dxa"/>
            <w:left w:w="108" w:type="dxa"/>
            <w:bottom w:w="0" w:type="dxa"/>
            <w:right w:w="108" w:type="dxa"/>
          </w:tblCellMar>
        </w:tblPrEx>
        <w:trPr>
          <w:trHeight w:val="380" w:hRule="atLeast"/>
        </w:trPr>
        <w:tc>
          <w:tcPr>
            <w:tcW w:w="1382"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年度总体目标</w:t>
            </w:r>
          </w:p>
        </w:tc>
        <w:tc>
          <w:tcPr>
            <w:tcW w:w="46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预期目标</w:t>
            </w:r>
          </w:p>
        </w:tc>
        <w:tc>
          <w:tcPr>
            <w:tcW w:w="45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实际完成情况</w:t>
            </w:r>
          </w:p>
        </w:tc>
      </w:tr>
      <w:tr>
        <w:tblPrEx>
          <w:tblCellMar>
            <w:top w:w="0" w:type="dxa"/>
            <w:left w:w="108" w:type="dxa"/>
            <w:bottom w:w="0" w:type="dxa"/>
            <w:right w:w="108" w:type="dxa"/>
          </w:tblCellMar>
        </w:tblPrEx>
        <w:trPr>
          <w:trHeight w:val="1400" w:hRule="atLeast"/>
        </w:trPr>
        <w:tc>
          <w:tcPr>
            <w:tcW w:w="1382"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c>
          <w:tcPr>
            <w:tcW w:w="464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通过对院校毕业后医务人员和开展有针对性规范化的培训，使更多的医务人员具备更高的临床胜任力，从而为更好的提升国家整体的医疗水平。</w:t>
            </w:r>
          </w:p>
        </w:tc>
        <w:tc>
          <w:tcPr>
            <w:tcW w:w="4531"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 xml:space="preserve"> 2024年全年根据住院医师规范化培训相关制度要求，按进度支出各项教学活动，学员补助，师资培训等经费，执行率达97.72%。为24年的住培工作提供的有效的保障，本年度住培结业考试通过率100%，取得了一定的成效，为鄂尔多斯地区持续培训培养合格的住院医师。</w:t>
            </w:r>
          </w:p>
        </w:tc>
      </w:tr>
      <w:tr>
        <w:tblPrEx>
          <w:tblCellMar>
            <w:top w:w="0" w:type="dxa"/>
            <w:left w:w="108" w:type="dxa"/>
            <w:bottom w:w="0" w:type="dxa"/>
            <w:right w:w="108" w:type="dxa"/>
          </w:tblCellMar>
        </w:tblPrEx>
        <w:trPr>
          <w:trHeight w:val="380" w:hRule="atLeast"/>
        </w:trPr>
        <w:tc>
          <w:tcPr>
            <w:tcW w:w="7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一级指标</w:t>
            </w:r>
          </w:p>
        </w:tc>
        <w:tc>
          <w:tcPr>
            <w:tcW w:w="73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二级指标</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三级指标</w:t>
            </w:r>
          </w:p>
        </w:tc>
        <w:tc>
          <w:tcPr>
            <w:tcW w:w="7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指标性质</w:t>
            </w:r>
          </w:p>
        </w:tc>
        <w:tc>
          <w:tcPr>
            <w:tcW w:w="10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指标方向</w:t>
            </w:r>
          </w:p>
        </w:tc>
        <w:tc>
          <w:tcPr>
            <w:tcW w:w="966"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年度指标值</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实际完成值</w:t>
            </w:r>
          </w:p>
        </w:tc>
        <w:tc>
          <w:tcPr>
            <w:tcW w:w="108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计量单位</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分值</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得分</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偏差原因分析及改进措施</w:t>
            </w:r>
          </w:p>
        </w:tc>
      </w:tr>
      <w:tr>
        <w:tblPrEx>
          <w:tblCellMar>
            <w:top w:w="0" w:type="dxa"/>
            <w:left w:w="108" w:type="dxa"/>
            <w:bottom w:w="0" w:type="dxa"/>
            <w:right w:w="108" w:type="dxa"/>
          </w:tblCellMar>
        </w:tblPrEx>
        <w:trPr>
          <w:trHeight w:val="840" w:hRule="atLeast"/>
        </w:trPr>
        <w:tc>
          <w:tcPr>
            <w:tcW w:w="76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绩效指标</w:t>
            </w:r>
          </w:p>
        </w:tc>
        <w:tc>
          <w:tcPr>
            <w:tcW w:w="6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产出指标</w:t>
            </w:r>
          </w:p>
        </w:tc>
        <w:tc>
          <w:tcPr>
            <w:tcW w:w="73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数量指标</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住院医师规范化培训招收人数</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40</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45.00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人</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科目调整次数</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反向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小于等于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次</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质量指标</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住院医师规范化培训结业考试通过率</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80</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学员出勤率</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85</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时效指标</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住院医师规范化培训完成时间</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住院医师规范化培训考核完成时间</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年</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成本指标</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财政对住院医师规范化培训项目投入标准</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万元/人/年</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培训费占比</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30</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34.00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182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restart"/>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效益指标</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社会效益指标</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培养合格专业的住院医师</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逐年提升</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24年度结业考试通过率为100%，近年来结业考试通过率不断提高，持续培养合格的住院医师</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212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可持续影响指标</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持续培养合格的住院医师提高毕业生工作区域医疗卫生水平</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定性</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逐步提升</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结业考试通过率不断的提高，持续为前来培训的学员所在工作地域培养合格的住院医师，加强区域间的交流。</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15</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766" w:type="dxa"/>
            <w:vMerge w:val="continue"/>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c>
          <w:tcPr>
            <w:tcW w:w="61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满意度指标</w:t>
            </w:r>
          </w:p>
        </w:tc>
        <w:tc>
          <w:tcPr>
            <w:tcW w:w="73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服务对象满意度指标</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参培对象满意度</w:t>
            </w:r>
          </w:p>
        </w:tc>
        <w:tc>
          <w:tcPr>
            <w:tcW w:w="799"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正向</w:t>
            </w:r>
          </w:p>
        </w:tc>
        <w:tc>
          <w:tcPr>
            <w:tcW w:w="10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大于等于</w:t>
            </w:r>
          </w:p>
        </w:tc>
        <w:tc>
          <w:tcPr>
            <w:tcW w:w="966"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95</w:t>
            </w:r>
          </w:p>
        </w:tc>
        <w:tc>
          <w:tcPr>
            <w:tcW w:w="1350"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97.50</w:t>
            </w:r>
          </w:p>
        </w:tc>
        <w:tc>
          <w:tcPr>
            <w:tcW w:w="1083"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w:t>
            </w:r>
          </w:p>
        </w:tc>
        <w:tc>
          <w:tcPr>
            <w:tcW w:w="732"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867" w:type="dxa"/>
            <w:tcBorders>
              <w:top w:val="single" w:color="000000" w:sz="4" w:space="0"/>
              <w:left w:val="single" w:color="000000" w:sz="4" w:space="0"/>
              <w:bottom w:val="nil"/>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w:t>
            </w:r>
          </w:p>
        </w:tc>
        <w:tc>
          <w:tcPr>
            <w:tcW w:w="499" w:type="dxa"/>
            <w:tcBorders>
              <w:top w:val="single" w:color="000000" w:sz="4" w:space="0"/>
              <w:left w:val="single" w:color="000000" w:sz="4" w:space="0"/>
              <w:bottom w:val="nil"/>
              <w:right w:val="single" w:color="000000" w:sz="4" w:space="0"/>
            </w:tcBorders>
            <w:shd w:val="clear" w:color="auto" w:fill="auto"/>
            <w:vAlign w:val="center"/>
          </w:tcPr>
          <w:p>
            <w:pPr>
              <w:jc w:val="center"/>
              <w:rPr>
                <w:rFonts w:ascii="宋体" w:hAnsi="宋体" w:cs="宋体"/>
                <w:color w:val="000000"/>
                <w:sz w:val="18"/>
                <w:szCs w:val="18"/>
              </w:rPr>
            </w:pPr>
          </w:p>
        </w:tc>
      </w:tr>
      <w:tr>
        <w:tblPrEx>
          <w:tblCellMar>
            <w:top w:w="0" w:type="dxa"/>
            <w:left w:w="108" w:type="dxa"/>
            <w:bottom w:w="0" w:type="dxa"/>
            <w:right w:w="108" w:type="dxa"/>
          </w:tblCellMar>
        </w:tblPrEx>
        <w:trPr>
          <w:trHeight w:val="840" w:hRule="atLeast"/>
        </w:trPr>
        <w:tc>
          <w:tcPr>
            <w:tcW w:w="8462"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总分</w:t>
            </w:r>
          </w:p>
        </w:tc>
        <w:tc>
          <w:tcPr>
            <w:tcW w:w="73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100</w:t>
            </w:r>
          </w:p>
        </w:tc>
        <w:tc>
          <w:tcPr>
            <w:tcW w:w="86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99.77</w:t>
            </w:r>
          </w:p>
        </w:tc>
        <w:tc>
          <w:tcPr>
            <w:tcW w:w="49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s="宋体"/>
                <w:color w:val="000000"/>
                <w:sz w:val="18"/>
                <w:szCs w:val="18"/>
              </w:rPr>
            </w:pPr>
          </w:p>
        </w:tc>
      </w:tr>
    </w:tbl>
    <w:p>
      <w:pPr>
        <w:topLinePunct/>
        <w:spacing w:line="520" w:lineRule="exact"/>
        <w:ind w:firstLine="640" w:firstLineChars="200"/>
        <w:rPr>
          <w:rFonts w:ascii="仿宋_GB2312" w:eastAsia="仿宋_GB2312" w:hAnsiTheme="majorEastAsia" w:cstheme="majorEastAsia"/>
          <w:color w:val="000000" w:themeColor="text1"/>
          <w:kern w:val="0"/>
          <w:sz w:val="32"/>
          <w:szCs w:val="32"/>
        </w:rPr>
      </w:pPr>
    </w:p>
    <w:p>
      <w:pPr>
        <w:spacing w:beforeAutospacing="1" w:afterAutospacing="1"/>
        <w:ind w:firstLine="321" w:firstLineChars="100"/>
        <w:rPr>
          <w:rFonts w:ascii="楷体" w:hAnsi="楷体" w:eastAsia="楷体" w:cs="楷体"/>
          <w:b/>
          <w:bCs/>
          <w:sz w:val="32"/>
          <w:szCs w:val="32"/>
        </w:rPr>
      </w:pPr>
      <w:r>
        <w:rPr>
          <w:rFonts w:hint="eastAsia" w:ascii="楷体" w:hAnsi="楷体" w:eastAsia="楷体" w:cs="楷体"/>
          <w:b/>
          <w:bCs/>
          <w:sz w:val="32"/>
          <w:szCs w:val="32"/>
        </w:rPr>
        <w:t>（三）单位项目绩效评价结果。</w:t>
      </w:r>
    </w:p>
    <w:p>
      <w:pPr>
        <w:topLinePunct/>
        <w:spacing w:line="520" w:lineRule="exact"/>
        <w:ind w:firstLine="640" w:firstLineChars="200"/>
        <w:rPr>
          <w:rFonts w:ascii="仿宋_GB2312" w:eastAsia="仿宋_GB2312" w:hAnsiTheme="majorEastAsia" w:cstheme="majorEastAsia"/>
          <w:color w:val="000000" w:themeColor="text1"/>
          <w:kern w:val="0"/>
          <w:sz w:val="32"/>
          <w:szCs w:val="32"/>
        </w:rPr>
      </w:pPr>
      <w:r>
        <w:rPr>
          <w:rFonts w:ascii="仿宋_GB2312" w:eastAsia="仿宋_GB2312" w:hAnsiTheme="majorEastAsia" w:cstheme="majorEastAsia"/>
          <w:color w:val="000000" w:themeColor="text1"/>
          <w:kern w:val="0"/>
          <w:sz w:val="32"/>
          <w:szCs w:val="32"/>
        </w:rPr>
        <w:t>我单位</w:t>
      </w:r>
      <w:r>
        <w:rPr>
          <w:rFonts w:hint="eastAsia" w:ascii="仿宋_GB2312" w:eastAsia="仿宋_GB2312" w:hAnsiTheme="majorEastAsia" w:cstheme="majorEastAsia"/>
          <w:color w:val="000000" w:themeColor="text1"/>
          <w:kern w:val="0"/>
          <w:sz w:val="32"/>
          <w:szCs w:val="32"/>
        </w:rPr>
        <w:t>未开展</w:t>
      </w:r>
      <w:r>
        <w:rPr>
          <w:rFonts w:ascii="仿宋_GB2312" w:eastAsia="仿宋_GB2312" w:hAnsiTheme="majorEastAsia" w:cstheme="majorEastAsia"/>
          <w:color w:val="000000" w:themeColor="text1"/>
          <w:kern w:val="0"/>
          <w:sz w:val="32"/>
          <w:szCs w:val="32"/>
        </w:rPr>
        <w:t>重点项目绩效评价。</w:t>
      </w:r>
    </w:p>
    <w:p>
      <w:pPr>
        <w:topLinePunct/>
        <w:spacing w:line="520" w:lineRule="exact"/>
        <w:ind w:firstLine="640" w:firstLineChars="200"/>
        <w:rPr>
          <w:rFonts w:ascii="仿宋_GB2312" w:eastAsia="仿宋_GB2312" w:hAnsiTheme="majorEastAsia" w:cstheme="majorEastAsia"/>
          <w:color w:val="000000" w:themeColor="text1"/>
          <w:kern w:val="0"/>
          <w:sz w:val="32"/>
          <w:szCs w:val="32"/>
        </w:rPr>
      </w:pPr>
    </w:p>
    <w:p>
      <w:pPr>
        <w:topLinePunct/>
        <w:spacing w:line="520" w:lineRule="exact"/>
        <w:ind w:firstLine="640" w:firstLineChars="200"/>
        <w:rPr>
          <w:rFonts w:ascii="仿宋_GB2312" w:eastAsia="仿宋_GB2312" w:hAnsiTheme="majorEastAsia" w:cstheme="majorEastAsia"/>
          <w:color w:val="000000" w:themeColor="text1"/>
          <w:kern w:val="0"/>
          <w:sz w:val="32"/>
          <w:szCs w:val="32"/>
        </w:rPr>
      </w:pPr>
    </w:p>
    <w:p>
      <w:pPr>
        <w:topLinePunct/>
        <w:spacing w:line="520" w:lineRule="exact"/>
        <w:ind w:firstLine="640" w:firstLineChars="200"/>
        <w:rPr>
          <w:rFonts w:ascii="仿宋_GB2312" w:eastAsia="仿宋_GB2312" w:hAnsiTheme="majorEastAsia" w:cstheme="majorEastAsia"/>
          <w:color w:val="000000" w:themeColor="text1"/>
          <w:kern w:val="0"/>
          <w:sz w:val="32"/>
          <w:szCs w:val="32"/>
        </w:rPr>
      </w:pPr>
    </w:p>
    <w:p>
      <w:pPr>
        <w:topLinePunct/>
        <w:spacing w:line="520" w:lineRule="exact"/>
        <w:ind w:firstLine="640" w:firstLineChars="200"/>
        <w:rPr>
          <w:rFonts w:ascii="仿宋_GB2312" w:eastAsia="仿宋_GB2312" w:hAnsiTheme="majorEastAsia" w:cstheme="majorEastAsia"/>
          <w:color w:val="000000" w:themeColor="text1"/>
          <w:kern w:val="0"/>
          <w:sz w:val="32"/>
          <w:szCs w:val="32"/>
        </w:rPr>
      </w:pPr>
    </w:p>
    <w:p>
      <w:pPr>
        <w:pStyle w:val="5"/>
        <w:tabs>
          <w:tab w:val="left" w:pos="4392"/>
        </w:tabs>
        <w:autoSpaceDE w:val="0"/>
        <w:autoSpaceDN w:val="0"/>
        <w:adjustRightInd w:val="0"/>
        <w:spacing w:line="360" w:lineRule="auto"/>
        <w:jc w:val="center"/>
        <w:rPr>
          <w:rFonts w:ascii="方正小标宋简体" w:hAnsi="Times New Roman" w:eastAsia="方正小标宋简体"/>
          <w:bCs w:val="0"/>
          <w:sz w:val="36"/>
          <w:szCs w:val="24"/>
        </w:rPr>
      </w:pPr>
      <w:r>
        <w:rPr>
          <w:rFonts w:hint="eastAsia" w:ascii="方正小标宋简体" w:hAnsi="Times New Roman" w:eastAsia="方正小标宋简体"/>
          <w:bCs w:val="0"/>
          <w:sz w:val="36"/>
          <w:szCs w:val="24"/>
        </w:rPr>
        <w:t>第三部分 名词解释</w:t>
      </w:r>
    </w:p>
    <w:p>
      <w:pPr>
        <w:widowControl/>
        <w:spacing w:before="240" w:after="240"/>
        <w:jc w:val="left"/>
        <w:rPr>
          <w:rFonts w:eastAsia="Times New Roman"/>
          <w:kern w:val="0"/>
          <w:sz w:val="32"/>
          <w:szCs w:val="32"/>
        </w:rPr>
      </w:pPr>
      <w:r>
        <w:rPr>
          <w:rFonts w:ascii="仿宋_GB2312" w:hAnsi="仿宋_GB2312" w:eastAsia="仿宋_GB2312" w:cs="仿宋_GB2312"/>
          <w:kern w:val="0"/>
          <w:sz w:val="27"/>
          <w:szCs w:val="27"/>
        </w:rPr>
        <w:t>   </w:t>
      </w:r>
      <w:r>
        <w:rPr>
          <w:rFonts w:ascii="仿宋_GB2312" w:hAnsi="仿宋_GB2312" w:eastAsia="仿宋_GB2312" w:cs="仿宋_GB2312"/>
          <w:kern w:val="0"/>
          <w:sz w:val="32"/>
          <w:szCs w:val="32"/>
        </w:rPr>
        <w:t xml:space="preserve"> 一、财政拨款收入：从同级财政部门取得的各类财政拨款，包括一般公共预算财政拨款、政府性基金预算财政拨款、国有资本经营预算财政拨款。</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b/>
          <w:bCs/>
          <w:kern w:val="0"/>
          <w:sz w:val="27"/>
          <w:szCs w:val="27"/>
        </w:rPr>
        <w:t xml:space="preserve">  </w:t>
      </w:r>
      <w:r>
        <w:rPr>
          <w:rFonts w:ascii="仿宋_GB2312" w:hAnsi="仿宋_GB2312" w:eastAsia="仿宋_GB2312" w:cs="仿宋_GB2312"/>
          <w:kern w:val="0"/>
          <w:sz w:val="32"/>
          <w:szCs w:val="32"/>
        </w:rPr>
        <w:t>  二、上级补助收入：指事业单位从主管部门和上级单位取得的非财政补助收入。</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三、财政专户管理教育收费：指缴入财政专户、实行专项管理的高中以上学费、住宿费、高校委托培养费、函大、电大、夜大及短训班培训费等教育收费。</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四、事业收入：指事业单位开展专业业务活动及其辅助活动取得的收入。</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五、经营收入：指事业单位在专业业务活动及其辅助活动之外开展非独立核算经营活动取得的收入。</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六、附属单位上缴收入：指事业单位取得附属独立核算单位按照有关规定上缴的收入。</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七、其他收入：取得的除上述财政拨款收入、上级补助收入、事业收入、经营收入、附属单位上缴收入等以外的各项收入。</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八、使用非财政拨款结余（含专用结余）：指事业单位按照预算管理要求使用非财政拨款结余弥补收支差额的金额，以及使用专用结余安排支出的金额。</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九、年初结转和结余：指单位上年结转本年使用的基本支出结转、项目支出结转和结余、经营结余。</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十、结余分配：指单位按规定缴纳企业所得税以及从非财政拨款结余或经营结余中提取各类结余的情况。</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十一、年末结转和结余资金：指单位结转下年的基本支出结转、项目支出结转和结余、经营结余。</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十二、基本支出：指为保障机构正常运转、完成日常工作任务所发生的支出，包括人员经费和公用经费。</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十三、项目支出：指在为完成特定的行政工作任务或事业发展目标所发生的支出。</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十四、上缴上级支出：指事业单位按照财政部门和主管部门的规定上缴上级单位的支出。</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十五、经营支出：指事业单位在专业业务活动及其辅助活动之外开展非独立核算经营活动发生的支出。</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十六、对附属单位补助支出：指事业单位用财政拨款收入之外的收入对附属单位补助发生的支出。</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十七、“三公”经费：指</w:t>
      </w:r>
      <w:r>
        <w:rPr>
          <w:rFonts w:hint="eastAsia" w:ascii="仿宋_GB2312" w:hAnsi="仿宋_GB2312" w:eastAsia="仿宋_GB2312" w:cs="仿宋_GB2312"/>
          <w:kern w:val="0"/>
          <w:sz w:val="32"/>
          <w:szCs w:val="32"/>
        </w:rPr>
        <w:t>单位</w:t>
      </w:r>
      <w:r>
        <w:rPr>
          <w:rFonts w:ascii="仿宋_GB2312" w:hAnsi="仿宋_GB2312" w:eastAsia="仿宋_GB2312" w:cs="仿宋_GB2312"/>
          <w:kern w:val="0"/>
          <w:sz w:val="32"/>
          <w:szCs w:val="32"/>
        </w:rPr>
        <w:t>用财政拨款安排的因公出国（境）费、公务用车购置及运行维护费和公务接待费。其中，因公出国（境）费反映</w:t>
      </w:r>
      <w:r>
        <w:rPr>
          <w:rFonts w:hint="eastAsia" w:ascii="仿宋_GB2312" w:hAnsi="仿宋_GB2312" w:eastAsia="仿宋_GB2312" w:cs="仿宋_GB2312"/>
          <w:kern w:val="0"/>
          <w:sz w:val="32"/>
          <w:szCs w:val="32"/>
        </w:rPr>
        <w:t>单位</w:t>
      </w:r>
      <w:r>
        <w:rPr>
          <w:rFonts w:ascii="仿宋_GB2312" w:hAnsi="仿宋_GB2312" w:eastAsia="仿宋_GB2312" w:cs="仿宋_GB2312"/>
          <w:kern w:val="0"/>
          <w:sz w:val="32"/>
          <w:szCs w:val="32"/>
        </w:rPr>
        <w:t>)公务出国（境）的国际旅费、国外城市间交通费、住宿费、伙食费、培训费、公杂费等支出；公务用车购置及运行维护费反映</w:t>
      </w:r>
      <w:r>
        <w:rPr>
          <w:rFonts w:hint="eastAsia" w:ascii="仿宋_GB2312" w:hAnsi="仿宋_GB2312" w:eastAsia="仿宋_GB2312" w:cs="仿宋_GB2312"/>
          <w:kern w:val="0"/>
          <w:sz w:val="32"/>
          <w:szCs w:val="32"/>
        </w:rPr>
        <w:t>单位</w:t>
      </w:r>
      <w:r>
        <w:rPr>
          <w:rFonts w:ascii="仿宋_GB2312" w:hAnsi="仿宋_GB2312" w:eastAsia="仿宋_GB2312" w:cs="仿宋_GB2312"/>
          <w:kern w:val="0"/>
          <w:sz w:val="32"/>
          <w:szCs w:val="32"/>
        </w:rPr>
        <w:t>公务用车购置支出（含车辆购置税、牌照费）以及按规定保留的公务用车燃料费、维修费、过路过桥费、保险费、安全奖励费用等支出；公务接待费反映</w:t>
      </w:r>
      <w:r>
        <w:rPr>
          <w:rFonts w:hint="eastAsia" w:ascii="仿宋_GB2312" w:hAnsi="仿宋_GB2312" w:eastAsia="仿宋_GB2312" w:cs="仿宋_GB2312"/>
          <w:kern w:val="0"/>
          <w:sz w:val="32"/>
          <w:szCs w:val="32"/>
        </w:rPr>
        <w:t>单位</w:t>
      </w:r>
      <w:r>
        <w:rPr>
          <w:rFonts w:ascii="仿宋_GB2312" w:hAnsi="仿宋_GB2312" w:eastAsia="仿宋_GB2312" w:cs="仿宋_GB2312"/>
          <w:kern w:val="0"/>
          <w:sz w:val="32"/>
          <w:szCs w:val="32"/>
        </w:rPr>
        <w:t>按规定开支的各类公务接待（含外宾接待）费用。</w:t>
      </w:r>
    </w:p>
    <w:p>
      <w:pPr>
        <w:widowControl/>
        <w:spacing w:before="240" w:after="240"/>
        <w:jc w:val="left"/>
        <w:rPr>
          <w:rFonts w:eastAsia="Times New Roman"/>
          <w:kern w:val="0"/>
          <w:sz w:val="24"/>
        </w:rPr>
      </w:pPr>
      <w:r>
        <w:rPr>
          <w:rFonts w:ascii="仿宋_GB2312" w:hAnsi="仿宋_GB2312" w:eastAsia="仿宋_GB2312" w:cs="仿宋_GB2312"/>
          <w:kern w:val="0"/>
          <w:sz w:val="32"/>
          <w:szCs w:val="32"/>
        </w:rPr>
        <w:t>    十八、机关运行经费：指行政单位和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及其他费用等。</w:t>
      </w:r>
    </w:p>
    <w:p>
      <w:pPr>
        <w:pStyle w:val="5"/>
        <w:tabs>
          <w:tab w:val="left" w:pos="4392"/>
        </w:tabs>
        <w:autoSpaceDE w:val="0"/>
        <w:autoSpaceDN w:val="0"/>
        <w:adjustRightInd w:val="0"/>
        <w:spacing w:line="360" w:lineRule="auto"/>
        <w:ind w:firstLine="1084" w:firstLineChars="300"/>
        <w:rPr>
          <w:rFonts w:ascii="方正小标宋简体" w:hAnsi="Times New Roman" w:eastAsia="方正小标宋简体"/>
          <w:bCs w:val="0"/>
          <w:sz w:val="36"/>
          <w:szCs w:val="24"/>
        </w:rPr>
      </w:pPr>
      <w:r>
        <w:rPr>
          <w:rFonts w:hint="eastAsia" w:ascii="方正小标宋简体" w:hAnsi="Times New Roman" w:eastAsia="方正小标宋简体"/>
          <w:bCs w:val="0"/>
          <w:sz w:val="36"/>
          <w:szCs w:val="24"/>
        </w:rPr>
        <w:t>第四部分 决算公开联系方式及信息反馈渠道</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27"/>
          <w:szCs w:val="27"/>
        </w:rPr>
        <w:t xml:space="preserve">  </w:t>
      </w:r>
      <w:r>
        <w:rPr>
          <w:rFonts w:ascii="仿宋_GB2312" w:hAnsi="仿宋_GB2312" w:eastAsia="仿宋_GB2312" w:cs="仿宋_GB2312"/>
          <w:kern w:val="0"/>
          <w:sz w:val="32"/>
          <w:szCs w:val="32"/>
        </w:rPr>
        <w:t>  本单位决算公开信息反馈和联系方式：</w:t>
      </w:r>
    </w:p>
    <w:p>
      <w:pPr>
        <w:widowControl/>
        <w:spacing w:before="240" w:after="240"/>
        <w:jc w:val="left"/>
        <w:rPr>
          <w:rFonts w:ascii="仿宋_GB2312" w:hAnsi="仿宋_GB2312" w:eastAsia="仿宋_GB2312" w:cs="仿宋_GB2312"/>
          <w:kern w:val="0"/>
          <w:sz w:val="32"/>
          <w:szCs w:val="32"/>
        </w:rPr>
      </w:pPr>
      <w:r>
        <w:rPr>
          <w:rFonts w:ascii="仿宋_GB2312" w:hAnsi="仿宋_GB2312" w:eastAsia="仿宋_GB2312" w:cs="仿宋_GB2312"/>
          <w:kern w:val="0"/>
          <w:sz w:val="32"/>
          <w:szCs w:val="32"/>
        </w:rPr>
        <w:t>    联系人：李彩霞           联系电话：0477-8363168</w:t>
      </w:r>
    </w:p>
    <w:p>
      <w:pPr>
        <w:widowControl/>
        <w:spacing w:before="240" w:after="240"/>
        <w:jc w:val="left"/>
        <w:rPr>
          <w:rFonts w:eastAsia="Times New Roman"/>
          <w:kern w:val="0"/>
          <w:sz w:val="24"/>
        </w:rPr>
      </w:pPr>
    </w:p>
    <w:p>
      <w:pPr>
        <w:pStyle w:val="5"/>
        <w:tabs>
          <w:tab w:val="left" w:pos="4392"/>
        </w:tabs>
        <w:autoSpaceDE w:val="0"/>
        <w:autoSpaceDN w:val="0"/>
        <w:adjustRightInd w:val="0"/>
        <w:spacing w:line="360" w:lineRule="auto"/>
        <w:ind w:firstLine="1084" w:firstLineChars="300"/>
        <w:rPr>
          <w:rFonts w:ascii="方正小标宋简体" w:hAnsi="Times New Roman" w:eastAsia="方正小标宋简体"/>
          <w:bCs w:val="0"/>
          <w:sz w:val="36"/>
          <w:szCs w:val="24"/>
        </w:rPr>
      </w:pPr>
      <w:r>
        <w:rPr>
          <w:rFonts w:hint="eastAsia" w:ascii="方正小标宋简体" w:hAnsi="Times New Roman" w:eastAsia="方正小标宋简体"/>
          <w:bCs w:val="0"/>
          <w:sz w:val="36"/>
          <w:szCs w:val="24"/>
        </w:rPr>
        <w:t>第五部分 单位决算表</w:t>
      </w:r>
    </w:p>
    <w:p>
      <w:pPr>
        <w:autoSpaceDE w:val="0"/>
        <w:autoSpaceDN w:val="0"/>
        <w:adjustRightInd w:val="0"/>
        <w:spacing w:line="360" w:lineRule="auto"/>
        <w:rPr>
          <w:rFonts w:ascii="仿宋_GB2312" w:eastAsia="仿宋_GB2312"/>
          <w:sz w:val="32"/>
        </w:rPr>
      </w:pPr>
      <w:r>
        <w:rPr>
          <w:rFonts w:ascii="仿宋_GB2312" w:eastAsia="仿宋_GB2312"/>
          <w:sz w:val="32"/>
        </w:rPr>
        <w:t>一、收入支出决算总表</w:t>
      </w:r>
    </w:p>
    <w:p>
      <w:pPr>
        <w:autoSpaceDE w:val="0"/>
        <w:autoSpaceDN w:val="0"/>
        <w:adjustRightInd w:val="0"/>
        <w:spacing w:line="360" w:lineRule="auto"/>
        <w:rPr>
          <w:rFonts w:ascii="仿宋_GB2312" w:eastAsia="仿宋_GB2312"/>
          <w:sz w:val="32"/>
        </w:rPr>
      </w:pPr>
      <w:r>
        <w:rPr>
          <w:rFonts w:ascii="仿宋_GB2312" w:eastAsia="仿宋_GB2312"/>
          <w:sz w:val="32"/>
        </w:rPr>
        <w:t>二、收入决算表</w:t>
      </w:r>
    </w:p>
    <w:p>
      <w:pPr>
        <w:autoSpaceDE w:val="0"/>
        <w:autoSpaceDN w:val="0"/>
        <w:adjustRightInd w:val="0"/>
        <w:spacing w:line="360" w:lineRule="auto"/>
        <w:rPr>
          <w:rFonts w:ascii="仿宋_GB2312" w:eastAsia="仿宋_GB2312"/>
          <w:sz w:val="32"/>
        </w:rPr>
      </w:pPr>
      <w:r>
        <w:rPr>
          <w:rFonts w:ascii="仿宋_GB2312" w:eastAsia="仿宋_GB2312"/>
          <w:sz w:val="32"/>
        </w:rPr>
        <w:t>三、支出决算表</w:t>
      </w:r>
    </w:p>
    <w:p>
      <w:pPr>
        <w:autoSpaceDE w:val="0"/>
        <w:autoSpaceDN w:val="0"/>
        <w:adjustRightInd w:val="0"/>
        <w:spacing w:line="360" w:lineRule="auto"/>
        <w:rPr>
          <w:rFonts w:ascii="仿宋_GB2312" w:eastAsia="仿宋_GB2312"/>
          <w:sz w:val="32"/>
        </w:rPr>
      </w:pPr>
      <w:r>
        <w:rPr>
          <w:rFonts w:ascii="仿宋_GB2312" w:eastAsia="仿宋_GB2312"/>
          <w:sz w:val="32"/>
        </w:rPr>
        <w:t>四、财政拨款收入支出决算总表</w:t>
      </w:r>
    </w:p>
    <w:p>
      <w:pPr>
        <w:autoSpaceDE w:val="0"/>
        <w:autoSpaceDN w:val="0"/>
        <w:adjustRightInd w:val="0"/>
        <w:spacing w:line="360" w:lineRule="auto"/>
        <w:rPr>
          <w:rFonts w:ascii="仿宋_GB2312" w:eastAsia="仿宋_GB2312"/>
          <w:sz w:val="32"/>
        </w:rPr>
      </w:pPr>
      <w:r>
        <w:rPr>
          <w:rFonts w:ascii="仿宋_GB2312" w:eastAsia="仿宋_GB2312"/>
          <w:sz w:val="32"/>
        </w:rPr>
        <w:t>五、一般公共预算财政拨款支出决算表</w:t>
      </w:r>
    </w:p>
    <w:p>
      <w:pPr>
        <w:autoSpaceDE w:val="0"/>
        <w:autoSpaceDN w:val="0"/>
        <w:adjustRightInd w:val="0"/>
        <w:spacing w:line="360" w:lineRule="auto"/>
        <w:rPr>
          <w:rFonts w:ascii="仿宋_GB2312" w:eastAsia="仿宋_GB2312"/>
          <w:sz w:val="32"/>
        </w:rPr>
      </w:pPr>
      <w:r>
        <w:rPr>
          <w:rFonts w:ascii="仿宋_GB2312" w:eastAsia="仿宋_GB2312"/>
          <w:sz w:val="32"/>
        </w:rPr>
        <w:t>六、一般公共预算财政拨款基本支出决算明细表</w:t>
      </w:r>
    </w:p>
    <w:p>
      <w:pPr>
        <w:autoSpaceDE w:val="0"/>
        <w:autoSpaceDN w:val="0"/>
        <w:adjustRightInd w:val="0"/>
        <w:spacing w:line="360" w:lineRule="auto"/>
        <w:rPr>
          <w:rFonts w:ascii="仿宋_GB2312" w:eastAsia="仿宋_GB2312"/>
          <w:sz w:val="32"/>
        </w:rPr>
      </w:pPr>
      <w:r>
        <w:rPr>
          <w:rFonts w:ascii="仿宋_GB2312" w:eastAsia="仿宋_GB2312"/>
          <w:sz w:val="32"/>
        </w:rPr>
        <w:t>七、一般公共预算财政拨款项目支出决算明细表</w:t>
      </w:r>
    </w:p>
    <w:p>
      <w:pPr>
        <w:autoSpaceDE w:val="0"/>
        <w:autoSpaceDN w:val="0"/>
        <w:adjustRightInd w:val="0"/>
        <w:spacing w:line="360" w:lineRule="auto"/>
        <w:rPr>
          <w:rFonts w:ascii="仿宋_GB2312" w:eastAsia="仿宋_GB2312"/>
          <w:sz w:val="32"/>
        </w:rPr>
      </w:pPr>
      <w:r>
        <w:rPr>
          <w:rFonts w:ascii="仿宋_GB2312" w:eastAsia="仿宋_GB2312"/>
          <w:sz w:val="32"/>
        </w:rPr>
        <w:t>八、政府性基金预算财政拨款收入支出决算表</w:t>
      </w:r>
    </w:p>
    <w:p>
      <w:pPr>
        <w:autoSpaceDE w:val="0"/>
        <w:autoSpaceDN w:val="0"/>
        <w:adjustRightInd w:val="0"/>
        <w:spacing w:line="360" w:lineRule="auto"/>
        <w:rPr>
          <w:rFonts w:ascii="仿宋_GB2312" w:eastAsia="仿宋_GB2312"/>
          <w:sz w:val="32"/>
        </w:rPr>
      </w:pPr>
      <w:r>
        <w:rPr>
          <w:rFonts w:ascii="仿宋_GB2312" w:eastAsia="仿宋_GB2312"/>
          <w:sz w:val="32"/>
        </w:rPr>
        <w:t>九、国有资本经营预算财政拨款支出决算表</w:t>
      </w:r>
    </w:p>
    <w:p>
      <w:pPr>
        <w:autoSpaceDE w:val="0"/>
        <w:autoSpaceDN w:val="0"/>
        <w:adjustRightInd w:val="0"/>
        <w:spacing w:line="360" w:lineRule="auto"/>
        <w:rPr>
          <w:rFonts w:ascii="仿宋_GB2312" w:eastAsia="仿宋_GB2312"/>
          <w:sz w:val="32"/>
        </w:rPr>
      </w:pPr>
      <w:r>
        <w:rPr>
          <w:rFonts w:ascii="仿宋_GB2312" w:eastAsia="仿宋_GB2312"/>
          <w:sz w:val="32"/>
        </w:rPr>
        <w:t>十、财政拨款“三公”经费支出决算表</w:t>
      </w:r>
    </w:p>
    <w:p>
      <w:pPr>
        <w:autoSpaceDE w:val="0"/>
        <w:autoSpaceDN w:val="0"/>
        <w:adjustRightInd w:val="0"/>
        <w:spacing w:line="360" w:lineRule="auto"/>
        <w:rPr>
          <w:rFonts w:ascii="仿宋_GB2312" w:eastAsia="仿宋_GB2312"/>
          <w:sz w:val="32"/>
        </w:rPr>
      </w:pPr>
      <w:r>
        <w:rPr>
          <w:rFonts w:ascii="仿宋_GB2312" w:eastAsia="仿宋_GB2312"/>
          <w:sz w:val="32"/>
        </w:rPr>
        <w:t>十一、机构运行经费支出、国有资产占用情况及政府采购支出信息表</w:t>
      </w:r>
    </w:p>
    <w:p>
      <w:pPr>
        <w:autoSpaceDE w:val="0"/>
        <w:autoSpaceDN w:val="0"/>
        <w:adjustRightInd w:val="0"/>
        <w:spacing w:line="360" w:lineRule="auto"/>
        <w:rPr>
          <w:rFonts w:ascii="仿宋_GB2312" w:eastAsia="仿宋_GB2312"/>
          <w:sz w:val="32"/>
        </w:rPr>
      </w:pPr>
      <w:r>
        <w:rPr>
          <w:rFonts w:hint="eastAsia" w:ascii="仿宋_GB2312" w:eastAsia="仿宋_GB2312"/>
          <w:sz w:val="32"/>
        </w:rPr>
        <w:t>见附件。</w:t>
      </w:r>
      <w:bookmarkEnd w:id="0"/>
    </w:p>
    <w:p>
      <w:pPr>
        <w:autoSpaceDE w:val="0"/>
        <w:autoSpaceDN w:val="0"/>
        <w:adjustRightInd w:val="0"/>
        <w:spacing w:line="360" w:lineRule="auto"/>
        <w:rPr>
          <w:rFonts w:ascii="仿宋_GB2312" w:eastAsia="仿宋_GB2312"/>
          <w:sz w:val="32"/>
        </w:rPr>
      </w:pPr>
    </w:p>
    <w:p>
      <w:pPr>
        <w:autoSpaceDE w:val="0"/>
        <w:autoSpaceDN w:val="0"/>
        <w:adjustRightInd w:val="0"/>
        <w:spacing w:line="360" w:lineRule="auto"/>
        <w:rPr>
          <w:rFonts w:ascii="仿宋_GB2312" w:eastAsia="仿宋_GB2312"/>
          <w:sz w:val="32"/>
        </w:rPr>
      </w:pPr>
      <w:r>
        <w:rPr>
          <w:rFonts w:hint="eastAsia" w:ascii="仿宋_GB2312" w:eastAsia="仿宋_GB2312"/>
          <w:sz w:val="32"/>
        </w:rPr>
        <w:t>备注：按决算公开编制要求，决算公开报告及公开表的计数单位为万元，而2024年决算编制是以元为计数单位，因此小数点后第二位存在四舍五入的差异。</w:t>
      </w:r>
    </w:p>
    <w:p>
      <w:pPr>
        <w:autoSpaceDE w:val="0"/>
        <w:autoSpaceDN w:val="0"/>
        <w:adjustRightInd w:val="0"/>
        <w:spacing w:line="360" w:lineRule="auto"/>
        <w:rPr>
          <w:rFonts w:ascii="仿宋_GB2312" w:eastAsia="仿宋_GB2312"/>
          <w:sz w:val="32"/>
        </w:rPr>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C1844183-B9E1-417C-8949-13D19FBB06D4}"/>
  </w:font>
  <w:font w:name="黑体">
    <w:panose1 w:val="02010609060101010101"/>
    <w:charset w:val="86"/>
    <w:family w:val="auto"/>
    <w:pitch w:val="default"/>
    <w:sig w:usb0="800002BF" w:usb1="38CF7CFA" w:usb2="00000016" w:usb3="00000000" w:csb0="00040001" w:csb1="00000000"/>
    <w:embedRegular r:id="rId2" w:fontKey="{B1DF9CA9-EF6A-4546-89CA-4B66FE1EB1E3}"/>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3" w:fontKey="{C117D6CE-116C-4349-A36E-BF47D05E8D84}"/>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embedRegular r:id="rId4" w:fontKey="{C9705352-4C4F-45FA-B64A-70B74903CC19}"/>
  </w:font>
  <w:font w:name="方正仿宋_GB2312">
    <w:altName w:val="仿宋"/>
    <w:panose1 w:val="00000000000000000000"/>
    <w:charset w:val="86"/>
    <w:family w:val="auto"/>
    <w:pitch w:val="default"/>
    <w:sig w:usb0="00000000" w:usb1="00000000" w:usb2="00000012" w:usb3="00000000" w:csb0="00040001" w:csb1="00000000"/>
    <w:embedRegular r:id="rId5" w:fontKey="{56CE0A8A-6032-4EF5-B88C-BDA6689D7A01}"/>
  </w:font>
  <w:font w:name="仿宋">
    <w:panose1 w:val="02010609060101010101"/>
    <w:charset w:val="86"/>
    <w:family w:val="auto"/>
    <w:pitch w:val="default"/>
    <w:sig w:usb0="800002BF" w:usb1="38CF7CFA" w:usb2="00000016" w:usb3="00000000" w:csb0="00040001" w:csb1="00000000"/>
    <w:embedRegular r:id="rId6" w:fontKey="{72A60DF0-F0A9-4D19-A0DF-8CD13129FA19}"/>
  </w:font>
  <w:font w:name="方正小标宋简体">
    <w:panose1 w:val="03000509000000000000"/>
    <w:charset w:val="86"/>
    <w:family w:val="script"/>
    <w:pitch w:val="default"/>
    <w:sig w:usb0="00000001" w:usb1="080E0000" w:usb2="00000000" w:usb3="00000000" w:csb0="00040000" w:csb1="00000000"/>
    <w:embedRegular r:id="rId7" w:fontKey="{21AFF3D2-0F24-4DF6-A642-78D501E4F816}"/>
  </w:font>
  <w:font w:name="times_new_roman">
    <w:altName w:val="Segoe Print"/>
    <w:panose1 w:val="00000000000000000000"/>
    <w:charset w:val="00"/>
    <w:family w:val="auto"/>
    <w:pitch w:val="default"/>
    <w:sig w:usb0="00000000" w:usb1="00000000" w:usb2="00000000" w:usb3="00000000" w:csb0="00000000" w:csb1="00000000"/>
    <w:embedRegular r:id="rId8" w:fontKey="{1A5E4588-E123-4771-9E28-CCB28AD6D663}"/>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modern"/>
    <w:pitch w:val="default"/>
    <w:sig w:usb0="800002BF" w:usb1="38CF7CFA" w:usb2="00000016" w:usb3="00000000" w:csb0="00040001" w:csb1="00000000"/>
    <w:embedRegular r:id="rId9" w:fontKey="{A51DA0D2-668B-4D8A-BF0C-5888FCA34A50}"/>
  </w:font>
  <w:font w:name="kai_ti_gb2312">
    <w:altName w:val="Segoe Print"/>
    <w:panose1 w:val="00000000000000000000"/>
    <w:charset w:val="00"/>
    <w:family w:val="auto"/>
    <w:pitch w:val="default"/>
    <w:sig w:usb0="00000000" w:usb1="00000000" w:usb2="00000000" w:usb3="00000000" w:csb0="00000000" w:csb1="00000000"/>
    <w:embedRegular r:id="rId10" w:fontKey="{E3BCCDBC-DEAB-44E5-BB1E-171DC192FBE7}"/>
  </w:font>
  <w:font w:name="方正楷体_GB2312">
    <w:altName w:val="宋体"/>
    <w:panose1 w:val="00000000000000000000"/>
    <w:charset w:val="86"/>
    <w:family w:val="auto"/>
    <w:pitch w:val="default"/>
    <w:sig w:usb0="00000000" w:usb1="00000000" w:usb2="00000012" w:usb3="00000000" w:csb0="00040001" w:csb1="00000000"/>
    <w:embedRegular r:id="rId11" w:fontKey="{D3D965C2-0A77-407F-BA4B-1EDD00BDCA49}"/>
  </w:font>
  <w:font w:name="Times New Roman Regular">
    <w:altName w:val="Times New Roman"/>
    <w:panose1 w:val="00000000000000000000"/>
    <w:charset w:val="00"/>
    <w:family w:val="auto"/>
    <w:pitch w:val="default"/>
    <w:sig w:usb0="00000000" w:usb1="00000000" w:usb2="00000001" w:usb3="00000000" w:csb0="400001BF" w:csb1="DFF70000"/>
    <w:embedRegular r:id="rId12" w:fontKey="{325E56EC-0016-4C35-AF2C-7E73562C1A9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right"/>
      <w:rPr>
        <w:rFonts w:eastAsia="Times New Roman"/>
      </w:rPr>
    </w:pPr>
  </w:p>
  <w:p>
    <w:pPr>
      <w:pStyle w:val="14"/>
      <w:rPr>
        <w:rFonts w:eastAsia="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r>
      <w:fldChar w:fldCharType="begin"/>
    </w:r>
    <w:r>
      <w:instrText xml:space="preserve"> PAGE   \* MERGEFORMAT </w:instrText>
    </w:r>
    <w:r>
      <w:fldChar w:fldCharType="separate"/>
    </w:r>
    <w:r>
      <w:rPr>
        <w:lang w:val="zh-CN"/>
      </w:rPr>
      <w:t>28</w:t>
    </w:r>
    <w:r>
      <w:rPr>
        <w:lang w:val="zh-CN"/>
      </w:rPr>
      <w:fldChar w:fldCharType="end"/>
    </w:r>
  </w:p>
  <w:p>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C788566"/>
    <w:multiLevelType w:val="singleLevel"/>
    <w:tmpl w:val="0C788566"/>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MDU2MDhhZDdhNDFhYWE1Zjc0YjEzOWIzNjZhYzA5ODkifQ=="/>
  </w:docVars>
  <w:rsids>
    <w:rsidRoot w:val="009F0536"/>
    <w:rsid w:val="0000662F"/>
    <w:rsid w:val="00023E75"/>
    <w:rsid w:val="00033C6A"/>
    <w:rsid w:val="00063AC2"/>
    <w:rsid w:val="000774F0"/>
    <w:rsid w:val="0008308B"/>
    <w:rsid w:val="00097269"/>
    <w:rsid w:val="000A769F"/>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3E4327"/>
    <w:rsid w:val="00482D36"/>
    <w:rsid w:val="00490629"/>
    <w:rsid w:val="0049507B"/>
    <w:rsid w:val="004A738F"/>
    <w:rsid w:val="004B1589"/>
    <w:rsid w:val="004B721F"/>
    <w:rsid w:val="004D7065"/>
    <w:rsid w:val="004E0B6C"/>
    <w:rsid w:val="00501188"/>
    <w:rsid w:val="005011E1"/>
    <w:rsid w:val="00505A51"/>
    <w:rsid w:val="0051384E"/>
    <w:rsid w:val="00521603"/>
    <w:rsid w:val="00536012"/>
    <w:rsid w:val="0054657E"/>
    <w:rsid w:val="0059054F"/>
    <w:rsid w:val="00592ED3"/>
    <w:rsid w:val="00596608"/>
    <w:rsid w:val="005B4139"/>
    <w:rsid w:val="005C13AB"/>
    <w:rsid w:val="00667493"/>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9F2E6D"/>
    <w:rsid w:val="00A147CF"/>
    <w:rsid w:val="00A270BE"/>
    <w:rsid w:val="00A36C1D"/>
    <w:rsid w:val="00A517A0"/>
    <w:rsid w:val="00A62486"/>
    <w:rsid w:val="00AA45EA"/>
    <w:rsid w:val="00AB013A"/>
    <w:rsid w:val="00AC4A4F"/>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7203A"/>
    <w:rsid w:val="00D96390"/>
    <w:rsid w:val="00E219E7"/>
    <w:rsid w:val="00E30CE0"/>
    <w:rsid w:val="00E34C66"/>
    <w:rsid w:val="00E3602E"/>
    <w:rsid w:val="00E60D6A"/>
    <w:rsid w:val="00E73321"/>
    <w:rsid w:val="00E74E95"/>
    <w:rsid w:val="00E77EC0"/>
    <w:rsid w:val="00E914C1"/>
    <w:rsid w:val="00E97C37"/>
    <w:rsid w:val="00EE533B"/>
    <w:rsid w:val="00F03A2B"/>
    <w:rsid w:val="00F04882"/>
    <w:rsid w:val="00F63327"/>
    <w:rsid w:val="00F80A29"/>
    <w:rsid w:val="00FA7CA5"/>
    <w:rsid w:val="00FD08EC"/>
    <w:rsid w:val="00FD7690"/>
    <w:rsid w:val="00FE1942"/>
    <w:rsid w:val="01763BCE"/>
    <w:rsid w:val="01CC5EE4"/>
    <w:rsid w:val="01FF1E15"/>
    <w:rsid w:val="020C2EB0"/>
    <w:rsid w:val="030671D3"/>
    <w:rsid w:val="030F6088"/>
    <w:rsid w:val="035E1A33"/>
    <w:rsid w:val="04104DE8"/>
    <w:rsid w:val="04243DB5"/>
    <w:rsid w:val="042C4158"/>
    <w:rsid w:val="048B5BE2"/>
    <w:rsid w:val="04A3117E"/>
    <w:rsid w:val="05B72A07"/>
    <w:rsid w:val="06EF2D4C"/>
    <w:rsid w:val="073C1416"/>
    <w:rsid w:val="07464042"/>
    <w:rsid w:val="07554285"/>
    <w:rsid w:val="075C1AB8"/>
    <w:rsid w:val="0765096C"/>
    <w:rsid w:val="07963D0A"/>
    <w:rsid w:val="07CC09EB"/>
    <w:rsid w:val="08020D73"/>
    <w:rsid w:val="08060FBA"/>
    <w:rsid w:val="08191757"/>
    <w:rsid w:val="08250DD9"/>
    <w:rsid w:val="083E1FDF"/>
    <w:rsid w:val="08C53ED2"/>
    <w:rsid w:val="09075A53"/>
    <w:rsid w:val="09167A44"/>
    <w:rsid w:val="091E1E99"/>
    <w:rsid w:val="0A7C48E5"/>
    <w:rsid w:val="0A7D421F"/>
    <w:rsid w:val="0A9450C5"/>
    <w:rsid w:val="0AE844D7"/>
    <w:rsid w:val="0AFD39DC"/>
    <w:rsid w:val="0BB84DE3"/>
    <w:rsid w:val="0C430B50"/>
    <w:rsid w:val="0C971EFE"/>
    <w:rsid w:val="0CF87B8D"/>
    <w:rsid w:val="0D110C4F"/>
    <w:rsid w:val="0D244E26"/>
    <w:rsid w:val="0DAB4BFF"/>
    <w:rsid w:val="0DEA2B82"/>
    <w:rsid w:val="0DFD16DE"/>
    <w:rsid w:val="0E213113"/>
    <w:rsid w:val="0E4319C3"/>
    <w:rsid w:val="0E547045"/>
    <w:rsid w:val="0E970C8F"/>
    <w:rsid w:val="0EAF24CD"/>
    <w:rsid w:val="0EB12C84"/>
    <w:rsid w:val="0F824086"/>
    <w:rsid w:val="0FF71B53"/>
    <w:rsid w:val="100131FC"/>
    <w:rsid w:val="101C3B92"/>
    <w:rsid w:val="10220A8A"/>
    <w:rsid w:val="109220A6"/>
    <w:rsid w:val="11192B62"/>
    <w:rsid w:val="113B273E"/>
    <w:rsid w:val="11585A9E"/>
    <w:rsid w:val="11763776"/>
    <w:rsid w:val="12443874"/>
    <w:rsid w:val="126E269F"/>
    <w:rsid w:val="140275A9"/>
    <w:rsid w:val="143A0A8B"/>
    <w:rsid w:val="147541B9"/>
    <w:rsid w:val="14D507B4"/>
    <w:rsid w:val="14E530ED"/>
    <w:rsid w:val="154047C7"/>
    <w:rsid w:val="15C745A0"/>
    <w:rsid w:val="15E6711C"/>
    <w:rsid w:val="1638724C"/>
    <w:rsid w:val="1676591D"/>
    <w:rsid w:val="16A253D2"/>
    <w:rsid w:val="16C136E5"/>
    <w:rsid w:val="16D8458B"/>
    <w:rsid w:val="16FE1FC7"/>
    <w:rsid w:val="17360403"/>
    <w:rsid w:val="17B172B6"/>
    <w:rsid w:val="17E70B9C"/>
    <w:rsid w:val="187F1162"/>
    <w:rsid w:val="18971D28"/>
    <w:rsid w:val="18AE0986"/>
    <w:rsid w:val="18DC4807"/>
    <w:rsid w:val="19AF1F1B"/>
    <w:rsid w:val="19E34AF3"/>
    <w:rsid w:val="1A0933D9"/>
    <w:rsid w:val="1A0F7B2B"/>
    <w:rsid w:val="1A310B82"/>
    <w:rsid w:val="1A9D6217"/>
    <w:rsid w:val="1AB570BD"/>
    <w:rsid w:val="1BB03EB4"/>
    <w:rsid w:val="1C626DD1"/>
    <w:rsid w:val="1CD221A8"/>
    <w:rsid w:val="1D1C1676"/>
    <w:rsid w:val="1E197963"/>
    <w:rsid w:val="1E4C7D38"/>
    <w:rsid w:val="1E9B425F"/>
    <w:rsid w:val="1EF328AA"/>
    <w:rsid w:val="1F3E6CF8"/>
    <w:rsid w:val="1F69491A"/>
    <w:rsid w:val="1FCF0C21"/>
    <w:rsid w:val="208573DD"/>
    <w:rsid w:val="20A756FA"/>
    <w:rsid w:val="20AF6154"/>
    <w:rsid w:val="20EA1B5B"/>
    <w:rsid w:val="217F6E19"/>
    <w:rsid w:val="21DE339D"/>
    <w:rsid w:val="226513C9"/>
    <w:rsid w:val="22B65DCE"/>
    <w:rsid w:val="22EC56D4"/>
    <w:rsid w:val="23791B12"/>
    <w:rsid w:val="23B02B18"/>
    <w:rsid w:val="23C56332"/>
    <w:rsid w:val="23F23130"/>
    <w:rsid w:val="248B72CE"/>
    <w:rsid w:val="252235A1"/>
    <w:rsid w:val="25401C79"/>
    <w:rsid w:val="263B4DC4"/>
    <w:rsid w:val="26633E71"/>
    <w:rsid w:val="26A92681"/>
    <w:rsid w:val="26BB1EFF"/>
    <w:rsid w:val="26F62F37"/>
    <w:rsid w:val="277B343D"/>
    <w:rsid w:val="28A864B3"/>
    <w:rsid w:val="28AC6F38"/>
    <w:rsid w:val="296F6FD1"/>
    <w:rsid w:val="298A7967"/>
    <w:rsid w:val="29B13146"/>
    <w:rsid w:val="29EE6148"/>
    <w:rsid w:val="2A261D85"/>
    <w:rsid w:val="2A3F4ECF"/>
    <w:rsid w:val="2A4B17EC"/>
    <w:rsid w:val="2A50295E"/>
    <w:rsid w:val="2A77613D"/>
    <w:rsid w:val="2A9A7099"/>
    <w:rsid w:val="2A9E191C"/>
    <w:rsid w:val="2AA902C1"/>
    <w:rsid w:val="2B3C2EE3"/>
    <w:rsid w:val="2B8F74B6"/>
    <w:rsid w:val="2BA72A52"/>
    <w:rsid w:val="2BBB3C14"/>
    <w:rsid w:val="2BD63337"/>
    <w:rsid w:val="2C3562B0"/>
    <w:rsid w:val="2C365B84"/>
    <w:rsid w:val="2C7C5C8D"/>
    <w:rsid w:val="2C977C17"/>
    <w:rsid w:val="2CD14A50"/>
    <w:rsid w:val="2D7E3C87"/>
    <w:rsid w:val="2D83304B"/>
    <w:rsid w:val="2DDD3E0B"/>
    <w:rsid w:val="2DF14458"/>
    <w:rsid w:val="2E0A72C8"/>
    <w:rsid w:val="2E497B58"/>
    <w:rsid w:val="2E6E3CFB"/>
    <w:rsid w:val="2F407445"/>
    <w:rsid w:val="2F4D15F4"/>
    <w:rsid w:val="2F725125"/>
    <w:rsid w:val="307F58BD"/>
    <w:rsid w:val="30BB3D9A"/>
    <w:rsid w:val="30BE2F3E"/>
    <w:rsid w:val="30C220DC"/>
    <w:rsid w:val="31CA56EC"/>
    <w:rsid w:val="31CC1DA3"/>
    <w:rsid w:val="32D700C1"/>
    <w:rsid w:val="330D6822"/>
    <w:rsid w:val="332C1A8F"/>
    <w:rsid w:val="33346287"/>
    <w:rsid w:val="3355548A"/>
    <w:rsid w:val="33A27285"/>
    <w:rsid w:val="342D5ABF"/>
    <w:rsid w:val="34993A68"/>
    <w:rsid w:val="34A3466F"/>
    <w:rsid w:val="351423D4"/>
    <w:rsid w:val="354632DC"/>
    <w:rsid w:val="36086A5E"/>
    <w:rsid w:val="367A3545"/>
    <w:rsid w:val="367E2601"/>
    <w:rsid w:val="369342FF"/>
    <w:rsid w:val="36A62566"/>
    <w:rsid w:val="36F11025"/>
    <w:rsid w:val="371315A4"/>
    <w:rsid w:val="37557806"/>
    <w:rsid w:val="383B704A"/>
    <w:rsid w:val="38486C0E"/>
    <w:rsid w:val="389C4EBE"/>
    <w:rsid w:val="38D34E86"/>
    <w:rsid w:val="3982065B"/>
    <w:rsid w:val="39FA28E7"/>
    <w:rsid w:val="3AD153F6"/>
    <w:rsid w:val="3AEF7F2E"/>
    <w:rsid w:val="3B154EA0"/>
    <w:rsid w:val="3B286FE0"/>
    <w:rsid w:val="3BD74C8E"/>
    <w:rsid w:val="3CD13DD3"/>
    <w:rsid w:val="3CD25C40"/>
    <w:rsid w:val="3CDC2875"/>
    <w:rsid w:val="3CF351EC"/>
    <w:rsid w:val="3D8C5F4C"/>
    <w:rsid w:val="3DD07BE6"/>
    <w:rsid w:val="3DEA67CE"/>
    <w:rsid w:val="3E38578C"/>
    <w:rsid w:val="3ED175C1"/>
    <w:rsid w:val="3ED8440F"/>
    <w:rsid w:val="3EFD0D5A"/>
    <w:rsid w:val="3F6A406B"/>
    <w:rsid w:val="3FF37BBC"/>
    <w:rsid w:val="40502228"/>
    <w:rsid w:val="40DC4AF4"/>
    <w:rsid w:val="41727207"/>
    <w:rsid w:val="41A01FC6"/>
    <w:rsid w:val="41C30AF4"/>
    <w:rsid w:val="41F30347"/>
    <w:rsid w:val="41FD7520"/>
    <w:rsid w:val="423D71D3"/>
    <w:rsid w:val="430F539D"/>
    <w:rsid w:val="43993170"/>
    <w:rsid w:val="43A7763B"/>
    <w:rsid w:val="43AD4526"/>
    <w:rsid w:val="43DD6200"/>
    <w:rsid w:val="43DE2931"/>
    <w:rsid w:val="43F565F9"/>
    <w:rsid w:val="444255B6"/>
    <w:rsid w:val="44626E27"/>
    <w:rsid w:val="45AC0F39"/>
    <w:rsid w:val="45B07DEB"/>
    <w:rsid w:val="45EE1552"/>
    <w:rsid w:val="466C06C8"/>
    <w:rsid w:val="469E3536"/>
    <w:rsid w:val="470C2FEC"/>
    <w:rsid w:val="478B1022"/>
    <w:rsid w:val="47AF0582"/>
    <w:rsid w:val="47BE4F54"/>
    <w:rsid w:val="48515DC8"/>
    <w:rsid w:val="4900334A"/>
    <w:rsid w:val="491D214E"/>
    <w:rsid w:val="494B0A69"/>
    <w:rsid w:val="49AD34D2"/>
    <w:rsid w:val="4A5B2F2E"/>
    <w:rsid w:val="4B6F67D8"/>
    <w:rsid w:val="4C47099A"/>
    <w:rsid w:val="4C7C244F"/>
    <w:rsid w:val="4C9D782D"/>
    <w:rsid w:val="4D243AAB"/>
    <w:rsid w:val="4D6949AC"/>
    <w:rsid w:val="4E2D2E33"/>
    <w:rsid w:val="4E4A12EF"/>
    <w:rsid w:val="4E7B3B9E"/>
    <w:rsid w:val="4E946A0E"/>
    <w:rsid w:val="4EF83441"/>
    <w:rsid w:val="4F6A776F"/>
    <w:rsid w:val="4F837225"/>
    <w:rsid w:val="4FB355BA"/>
    <w:rsid w:val="506A143A"/>
    <w:rsid w:val="50CC01D7"/>
    <w:rsid w:val="50EA500B"/>
    <w:rsid w:val="51234FA3"/>
    <w:rsid w:val="51943829"/>
    <w:rsid w:val="51A702DD"/>
    <w:rsid w:val="51B014ED"/>
    <w:rsid w:val="51B353FD"/>
    <w:rsid w:val="51CD438B"/>
    <w:rsid w:val="526C7FD8"/>
    <w:rsid w:val="526F3A1A"/>
    <w:rsid w:val="529A036B"/>
    <w:rsid w:val="52CD24EF"/>
    <w:rsid w:val="52EA12F3"/>
    <w:rsid w:val="532540D9"/>
    <w:rsid w:val="53634C01"/>
    <w:rsid w:val="53F65A75"/>
    <w:rsid w:val="548A7EC1"/>
    <w:rsid w:val="560E70A6"/>
    <w:rsid w:val="575E5E0B"/>
    <w:rsid w:val="576C4BE3"/>
    <w:rsid w:val="57B91294"/>
    <w:rsid w:val="57EC1815"/>
    <w:rsid w:val="584C035A"/>
    <w:rsid w:val="58670CF0"/>
    <w:rsid w:val="58927735"/>
    <w:rsid w:val="58EB1921"/>
    <w:rsid w:val="591900D0"/>
    <w:rsid w:val="59CF2FF0"/>
    <w:rsid w:val="5A0F163F"/>
    <w:rsid w:val="5A5654C0"/>
    <w:rsid w:val="5B361882"/>
    <w:rsid w:val="5BCE7A03"/>
    <w:rsid w:val="5BF62AB6"/>
    <w:rsid w:val="5C3B019A"/>
    <w:rsid w:val="5C473312"/>
    <w:rsid w:val="5C9E774C"/>
    <w:rsid w:val="5D4E60D5"/>
    <w:rsid w:val="5E0B036F"/>
    <w:rsid w:val="5E274ED0"/>
    <w:rsid w:val="5E6D3DD5"/>
    <w:rsid w:val="5EA51879"/>
    <w:rsid w:val="5F4461DE"/>
    <w:rsid w:val="5F950CB4"/>
    <w:rsid w:val="5FA97E40"/>
    <w:rsid w:val="5FC6687A"/>
    <w:rsid w:val="60395F83"/>
    <w:rsid w:val="606F725A"/>
    <w:rsid w:val="60A76A75"/>
    <w:rsid w:val="612A78BE"/>
    <w:rsid w:val="618F19E3"/>
    <w:rsid w:val="61D07906"/>
    <w:rsid w:val="625E7607"/>
    <w:rsid w:val="62960B4F"/>
    <w:rsid w:val="62EE4B17"/>
    <w:rsid w:val="64F13154"/>
    <w:rsid w:val="65F03B6B"/>
    <w:rsid w:val="660E3CE3"/>
    <w:rsid w:val="66AF21DF"/>
    <w:rsid w:val="6707201B"/>
    <w:rsid w:val="676A7DEF"/>
    <w:rsid w:val="67746904"/>
    <w:rsid w:val="688558EE"/>
    <w:rsid w:val="68C76BF4"/>
    <w:rsid w:val="69286EE4"/>
    <w:rsid w:val="69F01121"/>
    <w:rsid w:val="6A8B2066"/>
    <w:rsid w:val="6AC81AC2"/>
    <w:rsid w:val="6ADA11AD"/>
    <w:rsid w:val="6B0A3E88"/>
    <w:rsid w:val="6B0B7906"/>
    <w:rsid w:val="6B113469"/>
    <w:rsid w:val="6B657311"/>
    <w:rsid w:val="6B6D4417"/>
    <w:rsid w:val="6B802775"/>
    <w:rsid w:val="6B882FFF"/>
    <w:rsid w:val="6B981494"/>
    <w:rsid w:val="6C474C68"/>
    <w:rsid w:val="6C5A499B"/>
    <w:rsid w:val="6C8A0BDE"/>
    <w:rsid w:val="6CE60925"/>
    <w:rsid w:val="6DF1132F"/>
    <w:rsid w:val="6E7004A6"/>
    <w:rsid w:val="6EF2710D"/>
    <w:rsid w:val="6F052E27"/>
    <w:rsid w:val="6F235EFC"/>
    <w:rsid w:val="6F887A72"/>
    <w:rsid w:val="6F960C48"/>
    <w:rsid w:val="704141E0"/>
    <w:rsid w:val="70A1528F"/>
    <w:rsid w:val="70C8281B"/>
    <w:rsid w:val="71325EE7"/>
    <w:rsid w:val="72516841"/>
    <w:rsid w:val="72F773E8"/>
    <w:rsid w:val="73375A36"/>
    <w:rsid w:val="73764243"/>
    <w:rsid w:val="73D47729"/>
    <w:rsid w:val="73F826B0"/>
    <w:rsid w:val="74B44E65"/>
    <w:rsid w:val="74C72F0F"/>
    <w:rsid w:val="75271ADB"/>
    <w:rsid w:val="75F865F3"/>
    <w:rsid w:val="765406AD"/>
    <w:rsid w:val="766311EA"/>
    <w:rsid w:val="77232FD0"/>
    <w:rsid w:val="77263FC4"/>
    <w:rsid w:val="77277D4B"/>
    <w:rsid w:val="7741250B"/>
    <w:rsid w:val="77E912C9"/>
    <w:rsid w:val="77FC2DAB"/>
    <w:rsid w:val="789B25C4"/>
    <w:rsid w:val="78F01C6B"/>
    <w:rsid w:val="791747D2"/>
    <w:rsid w:val="792151BF"/>
    <w:rsid w:val="79334EF2"/>
    <w:rsid w:val="7956473D"/>
    <w:rsid w:val="79C11990"/>
    <w:rsid w:val="79C57A72"/>
    <w:rsid w:val="7A1F7224"/>
    <w:rsid w:val="7A796935"/>
    <w:rsid w:val="7A801345"/>
    <w:rsid w:val="7A925C48"/>
    <w:rsid w:val="7AC66867"/>
    <w:rsid w:val="7AF25EC6"/>
    <w:rsid w:val="7B024B7C"/>
    <w:rsid w:val="7B872B7C"/>
    <w:rsid w:val="7BB17713"/>
    <w:rsid w:val="7BF344C5"/>
    <w:rsid w:val="7C4A4A2C"/>
    <w:rsid w:val="7C776EA4"/>
    <w:rsid w:val="7CAA3BBD"/>
    <w:rsid w:val="7D101CB4"/>
    <w:rsid w:val="7D115DE1"/>
    <w:rsid w:val="7D1B1F25"/>
    <w:rsid w:val="7D6844B3"/>
    <w:rsid w:val="7D9817C8"/>
    <w:rsid w:val="7DE927A5"/>
    <w:rsid w:val="7DF864BB"/>
    <w:rsid w:val="7DFB555C"/>
    <w:rsid w:val="7E0626D2"/>
    <w:rsid w:val="7E353820"/>
    <w:rsid w:val="7E355268"/>
    <w:rsid w:val="7E6A173E"/>
    <w:rsid w:val="7EDC3936"/>
    <w:rsid w:val="7F1E3F4E"/>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6">
    <w:name w:val="heading 3"/>
    <w:basedOn w:val="1"/>
    <w:next w:val="1"/>
    <w:link w:val="32"/>
    <w:qFormat/>
    <w:uiPriority w:val="0"/>
    <w:pPr>
      <w:keepNext/>
      <w:keepLines/>
      <w:spacing w:before="260" w:after="260" w:line="416" w:lineRule="auto"/>
      <w:outlineLvl w:val="2"/>
    </w:pPr>
    <w:rPr>
      <w:b/>
      <w:bCs/>
      <w:sz w:val="32"/>
      <w:szCs w:val="32"/>
    </w:rPr>
  </w:style>
  <w:style w:type="paragraph" w:styleId="7">
    <w:name w:val="heading 4"/>
    <w:basedOn w:val="1"/>
    <w:next w:val="1"/>
    <w:link w:val="27"/>
    <w:qFormat/>
    <w:uiPriority w:val="0"/>
    <w:pPr>
      <w:keepNext/>
      <w:keepLines/>
      <w:spacing w:before="280" w:after="290" w:line="376" w:lineRule="auto"/>
      <w:outlineLvl w:val="3"/>
    </w:pPr>
    <w:rPr>
      <w:rFonts w:ascii="Cambria" w:hAnsi="Cambria"/>
      <w:b/>
      <w:bCs/>
      <w:sz w:val="28"/>
      <w:szCs w:val="28"/>
    </w:rPr>
  </w:style>
  <w:style w:type="character" w:default="1" w:styleId="23">
    <w:name w:val="Default Paragraph Font"/>
    <w:semiHidden/>
    <w:unhideWhenUsed/>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pPr>
  </w:style>
  <w:style w:type="paragraph" w:styleId="3">
    <w:name w:val="Body Text Indent"/>
    <w:basedOn w:val="1"/>
    <w:qFormat/>
    <w:uiPriority w:val="0"/>
    <w:pPr>
      <w:spacing w:after="120"/>
      <w:ind w:left="420" w:leftChars="200"/>
      <w:jc w:val="left"/>
    </w:pPr>
    <w:rPr>
      <w:rFonts w:hint="eastAsia" w:ascii="宋体" w:hAnsi="宋体"/>
      <w:kern w:val="0"/>
      <w:sz w:val="24"/>
    </w:rPr>
  </w:style>
  <w:style w:type="paragraph" w:styleId="8">
    <w:name w:val="toc 7"/>
    <w:basedOn w:val="1"/>
    <w:next w:val="1"/>
    <w:qFormat/>
    <w:uiPriority w:val="0"/>
    <w:pPr>
      <w:ind w:left="1260"/>
      <w:jc w:val="left"/>
    </w:pPr>
    <w:rPr>
      <w:sz w:val="20"/>
      <w:szCs w:val="20"/>
    </w:rPr>
  </w:style>
  <w:style w:type="paragraph" w:styleId="9">
    <w:name w:val="Document Map"/>
    <w:basedOn w:val="1"/>
    <w:qFormat/>
    <w:uiPriority w:val="0"/>
    <w:pPr>
      <w:shd w:val="clear" w:color="auto" w:fill="000080"/>
    </w:p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Balloon Text"/>
    <w:basedOn w:val="1"/>
    <w:link w:val="34"/>
    <w:uiPriority w:val="0"/>
    <w:rPr>
      <w:sz w:val="18"/>
      <w:szCs w:val="18"/>
    </w:rPr>
  </w:style>
  <w:style w:type="paragraph" w:styleId="14">
    <w:name w:val="footer"/>
    <w:basedOn w:val="1"/>
    <w:link w:val="30"/>
    <w:qFormat/>
    <w:uiPriority w:val="0"/>
    <w:pPr>
      <w:tabs>
        <w:tab w:val="center" w:pos="4153"/>
        <w:tab w:val="right" w:pos="8306"/>
      </w:tabs>
      <w:snapToGrid w:val="0"/>
      <w:jc w:val="left"/>
    </w:pPr>
    <w:rPr>
      <w:sz w:val="18"/>
      <w:szCs w:val="18"/>
    </w:rPr>
  </w:style>
  <w:style w:type="paragraph" w:styleId="1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6">
    <w:name w:val="toc 1"/>
    <w:basedOn w:val="1"/>
    <w:next w:val="1"/>
    <w:qFormat/>
    <w:uiPriority w:val="0"/>
    <w:pPr>
      <w:adjustRightInd w:val="0"/>
      <w:snapToGrid w:val="0"/>
      <w:spacing w:line="360" w:lineRule="auto"/>
      <w:jc w:val="left"/>
    </w:pPr>
    <w:rPr>
      <w:b/>
      <w:bCs/>
      <w:sz w:val="24"/>
      <w:szCs w:val="20"/>
    </w:rPr>
  </w:style>
  <w:style w:type="paragraph" w:styleId="17">
    <w:name w:val="toc 4"/>
    <w:basedOn w:val="1"/>
    <w:next w:val="1"/>
    <w:qFormat/>
    <w:uiPriority w:val="0"/>
    <w:pPr>
      <w:ind w:left="630"/>
      <w:jc w:val="left"/>
    </w:pPr>
    <w:rPr>
      <w:sz w:val="20"/>
      <w:szCs w:val="20"/>
    </w:rPr>
  </w:style>
  <w:style w:type="paragraph" w:styleId="18">
    <w:name w:val="toc 6"/>
    <w:basedOn w:val="1"/>
    <w:next w:val="1"/>
    <w:qFormat/>
    <w:uiPriority w:val="0"/>
    <w:pPr>
      <w:ind w:left="1050"/>
      <w:jc w:val="left"/>
    </w:pPr>
    <w:rPr>
      <w:sz w:val="20"/>
      <w:szCs w:val="20"/>
    </w:rPr>
  </w:style>
  <w:style w:type="paragraph" w:styleId="19">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20">
    <w:name w:val="toc 9"/>
    <w:basedOn w:val="1"/>
    <w:next w:val="1"/>
    <w:qFormat/>
    <w:uiPriority w:val="0"/>
    <w:pPr>
      <w:ind w:left="1680"/>
      <w:jc w:val="left"/>
    </w:pPr>
    <w:rPr>
      <w:sz w:val="20"/>
      <w:szCs w:val="20"/>
    </w:rPr>
  </w:style>
  <w:style w:type="paragraph" w:styleId="21">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24">
    <w:name w:val="Strong"/>
    <w:basedOn w:val="23"/>
    <w:qFormat/>
    <w:uiPriority w:val="0"/>
    <w:rPr>
      <w:b/>
    </w:rPr>
  </w:style>
  <w:style w:type="character" w:styleId="25">
    <w:name w:val="page number"/>
    <w:basedOn w:val="23"/>
    <w:qFormat/>
    <w:uiPriority w:val="0"/>
  </w:style>
  <w:style w:type="character" w:styleId="26">
    <w:name w:val="Hyperlink"/>
    <w:basedOn w:val="23"/>
    <w:qFormat/>
    <w:uiPriority w:val="0"/>
    <w:rPr>
      <w:color w:val="0000FF"/>
      <w:u w:val="single"/>
    </w:rPr>
  </w:style>
  <w:style w:type="character" w:customStyle="1" w:styleId="27">
    <w:name w:val="标题 4 Char"/>
    <w:basedOn w:val="23"/>
    <w:link w:val="7"/>
    <w:qFormat/>
    <w:uiPriority w:val="0"/>
    <w:rPr>
      <w:rFonts w:ascii="Cambria" w:hAnsi="Cambria"/>
      <w:b/>
      <w:bCs/>
      <w:kern w:val="2"/>
      <w:sz w:val="28"/>
      <w:szCs w:val="28"/>
    </w:rPr>
  </w:style>
  <w:style w:type="paragraph" w:styleId="28">
    <w:name w:val="No Spacing"/>
    <w:link w:val="29"/>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9">
    <w:name w:val="无间隔 Char"/>
    <w:link w:val="28"/>
    <w:qFormat/>
    <w:locked/>
    <w:uiPriority w:val="0"/>
    <w:rPr>
      <w:rFonts w:eastAsia="仿宋_GB2312"/>
      <w:sz w:val="30"/>
      <w:szCs w:val="22"/>
      <w:lang w:bidi="ar-SA"/>
    </w:rPr>
  </w:style>
  <w:style w:type="character" w:customStyle="1" w:styleId="30">
    <w:name w:val="页脚 Char"/>
    <w:basedOn w:val="23"/>
    <w:link w:val="14"/>
    <w:qFormat/>
    <w:uiPriority w:val="0"/>
    <w:rPr>
      <w:kern w:val="2"/>
      <w:sz w:val="18"/>
      <w:szCs w:val="18"/>
    </w:rPr>
  </w:style>
  <w:style w:type="paragraph" w:styleId="31">
    <w:name w:val="List Paragraph"/>
    <w:basedOn w:val="1"/>
    <w:qFormat/>
    <w:uiPriority w:val="0"/>
    <w:pPr>
      <w:ind w:firstLine="420" w:firstLineChars="200"/>
    </w:pPr>
  </w:style>
  <w:style w:type="character" w:customStyle="1" w:styleId="32">
    <w:name w:val="标题 3 Char"/>
    <w:basedOn w:val="23"/>
    <w:link w:val="6"/>
    <w:qFormat/>
    <w:uiPriority w:val="0"/>
    <w:rPr>
      <w:b/>
      <w:bCs/>
      <w:kern w:val="2"/>
      <w:sz w:val="32"/>
      <w:szCs w:val="32"/>
    </w:rPr>
  </w:style>
  <w:style w:type="paragraph" w:customStyle="1" w:styleId="33">
    <w:name w:val="MsoNormal"/>
    <w:basedOn w:val="1"/>
    <w:qFormat/>
    <w:uiPriority w:val="0"/>
  </w:style>
  <w:style w:type="character" w:customStyle="1" w:styleId="34">
    <w:name w:val="批注框文本 Char"/>
    <w:basedOn w:val="23"/>
    <w:link w:val="13"/>
    <w:qFormat/>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xvml="urn:schemas-microsoft-com:office:exce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A4D22DB3-C1A0-49E9-98B5-4992A296EB1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40</Pages>
  <Words>18673</Words>
  <Characters>20816</Characters>
  <Lines>160</Lines>
  <Paragraphs>45</Paragraphs>
  <TotalTime>3</TotalTime>
  <ScaleCrop>false</ScaleCrop>
  <LinksUpToDate>false</LinksUpToDate>
  <CharactersWithSpaces>21201</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lenovo</cp:lastModifiedBy>
  <cp:lastPrinted>2021-04-16T00:45:00Z</cp:lastPrinted>
  <dcterms:modified xsi:type="dcterms:W3CDTF">2025-09-26T08:33:58Z</dcterms:modified>
  <dc:title>××年度××部门/单位</dc:title>
  <cp:revision>26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72957A91D5D34705ADD4448558B6A2C9</vt:lpwstr>
  </property>
  <property fmtid="{D5CDD505-2E9C-101B-9397-08002B2CF9AE}" pid="3" name="KSOProductBuildVer">
    <vt:lpwstr>2052-11.1.0.12358</vt:lpwstr>
  </property>
  <property fmtid="{D5CDD505-2E9C-101B-9397-08002B2CF9AE}" pid="4" name="KSOTemplateDocerSaveRecord">
    <vt:lpwstr>eyJoZGlkIjoiNDM4NDkxZjE0MDM3YzE5ZjBkZDA5NDFiNzE1MTA0MmIiLCJ1c2VySWQiOiI1NjE3OTMzMDIifQ==</vt:lpwstr>
  </property>
</Properties>
</file>