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89C72">
      <w:pPr>
        <w:spacing w:line="360" w:lineRule="auto"/>
        <w:jc w:val="center"/>
        <w:rPr>
          <w:rFonts w:hint="default" w:ascii="Times New Roman" w:hAnsi="Times New Roman" w:cs="Times New Roman"/>
          <w:sz w:val="24"/>
          <w:u w:val="none" w:color="auto"/>
        </w:rPr>
      </w:pPr>
    </w:p>
    <w:p w14:paraId="60D78143">
      <w:pPr>
        <w:spacing w:line="360" w:lineRule="auto"/>
        <w:jc w:val="center"/>
        <w:rPr>
          <w:rFonts w:hint="default" w:ascii="Times New Roman" w:hAnsi="Times New Roman" w:cs="Times New Roman"/>
          <w:sz w:val="24"/>
          <w:u w:val="none" w:color="auto"/>
        </w:rPr>
      </w:pPr>
    </w:p>
    <w:p w14:paraId="544E11DC">
      <w:pPr>
        <w:spacing w:line="360" w:lineRule="auto"/>
        <w:jc w:val="center"/>
        <w:rPr>
          <w:rFonts w:hint="default" w:ascii="Times New Roman" w:hAnsi="Times New Roman" w:cs="Times New Roman"/>
          <w:sz w:val="24"/>
          <w:u w:val="none" w:color="auto"/>
        </w:rPr>
      </w:pPr>
    </w:p>
    <w:p w14:paraId="3A01525F">
      <w:pPr>
        <w:spacing w:line="360" w:lineRule="auto"/>
        <w:jc w:val="center"/>
        <w:rPr>
          <w:rFonts w:hint="default" w:ascii="Times New Roman" w:hAnsi="Times New Roman" w:cs="Times New Roman"/>
          <w:sz w:val="24"/>
          <w:u w:val="none" w:color="auto"/>
        </w:rPr>
      </w:pPr>
    </w:p>
    <w:p w14:paraId="6059E48E">
      <w:pPr>
        <w:spacing w:line="360" w:lineRule="auto"/>
        <w:jc w:val="center"/>
        <w:rPr>
          <w:rFonts w:hint="default" w:ascii="Times New Roman" w:hAnsi="Times New Roman" w:cs="Times New Roman"/>
          <w:b/>
          <w:bCs/>
          <w:sz w:val="52"/>
          <w:szCs w:val="52"/>
          <w:u w:val="none" w:color="auto"/>
        </w:rPr>
      </w:pPr>
      <w:r>
        <w:rPr>
          <w:rFonts w:hint="default" w:ascii="Times New Roman" w:hAnsi="Times New Roman" w:cs="Times New Roman"/>
          <w:b/>
          <w:bCs/>
          <w:sz w:val="52"/>
          <w:szCs w:val="52"/>
          <w:u w:val="none" w:color="auto"/>
        </w:rPr>
        <w:t>2024年度内蒙古自治区鄂尔多斯市卫生健康委员会（鄂尔多斯市中医药管理局）</w:t>
      </w:r>
      <w:r>
        <w:rPr>
          <w:rFonts w:hint="default" w:ascii="Times New Roman" w:hAnsi="Times New Roman" w:cs="Times New Roman"/>
          <w:b/>
          <w:bCs/>
          <w:sz w:val="52"/>
          <w:szCs w:val="52"/>
          <w:u w:val="none" w:color="auto"/>
          <w:lang w:eastAsia="zh-CN"/>
        </w:rPr>
        <w:t>（</w:t>
      </w:r>
      <w:r>
        <w:rPr>
          <w:rFonts w:hint="default" w:ascii="Times New Roman" w:hAnsi="Times New Roman" w:cs="Times New Roman"/>
          <w:b/>
          <w:bCs/>
          <w:sz w:val="52"/>
          <w:szCs w:val="52"/>
          <w:u w:val="none" w:color="auto"/>
          <w:lang w:val="en-US" w:eastAsia="zh-CN"/>
        </w:rPr>
        <w:t>本级）决算</w:t>
      </w:r>
      <w:r>
        <w:rPr>
          <w:rFonts w:hint="default" w:ascii="Times New Roman" w:hAnsi="Times New Roman" w:cs="Times New Roman"/>
          <w:b/>
          <w:bCs/>
          <w:sz w:val="52"/>
          <w:szCs w:val="52"/>
          <w:u w:val="none" w:color="auto"/>
        </w:rPr>
        <w:t>公开报告</w:t>
      </w:r>
    </w:p>
    <w:p w14:paraId="53F774B2">
      <w:pPr>
        <w:spacing w:line="360" w:lineRule="auto"/>
        <w:jc w:val="center"/>
        <w:rPr>
          <w:rFonts w:hint="default" w:ascii="Times New Roman" w:hAnsi="Times New Roman" w:eastAsia="宋体" w:cs="Times New Roman"/>
          <w:b/>
          <w:bCs/>
          <w:sz w:val="52"/>
          <w:szCs w:val="52"/>
          <w:u w:val="none" w:color="auto"/>
          <w:lang w:val="en-US" w:eastAsia="zh-CN"/>
        </w:rPr>
      </w:pPr>
    </w:p>
    <w:p w14:paraId="45A8FC4F">
      <w:pPr>
        <w:spacing w:line="360" w:lineRule="auto"/>
        <w:jc w:val="center"/>
        <w:rPr>
          <w:rFonts w:hint="default" w:ascii="Times New Roman" w:hAnsi="Times New Roman" w:cs="Times New Roman"/>
          <w:b/>
          <w:bCs/>
          <w:sz w:val="52"/>
          <w:szCs w:val="52"/>
          <w:u w:val="none" w:color="auto"/>
        </w:rPr>
      </w:pPr>
    </w:p>
    <w:p w14:paraId="3C3B5FAB">
      <w:pPr>
        <w:spacing w:line="360" w:lineRule="auto"/>
        <w:jc w:val="center"/>
        <w:rPr>
          <w:rFonts w:hint="default" w:ascii="Times New Roman" w:hAnsi="Times New Roman" w:cs="Times New Roman"/>
          <w:b/>
          <w:bCs/>
          <w:sz w:val="52"/>
          <w:szCs w:val="52"/>
          <w:u w:val="none" w:color="auto"/>
        </w:rPr>
      </w:pPr>
    </w:p>
    <w:p w14:paraId="02D023FF">
      <w:pPr>
        <w:spacing w:line="360" w:lineRule="auto"/>
        <w:jc w:val="center"/>
        <w:rPr>
          <w:rFonts w:hint="default" w:ascii="Times New Roman" w:hAnsi="Times New Roman" w:cs="Times New Roman"/>
          <w:b/>
          <w:bCs/>
          <w:sz w:val="52"/>
          <w:szCs w:val="52"/>
          <w:u w:val="none" w:color="auto"/>
        </w:rPr>
      </w:pPr>
    </w:p>
    <w:p w14:paraId="0A131B89">
      <w:pPr>
        <w:spacing w:line="360" w:lineRule="auto"/>
        <w:jc w:val="center"/>
        <w:rPr>
          <w:rFonts w:hint="default" w:ascii="Times New Roman" w:hAnsi="Times New Roman" w:cs="Times New Roman"/>
          <w:b/>
          <w:bCs/>
          <w:sz w:val="52"/>
          <w:szCs w:val="52"/>
          <w:u w:val="none" w:color="auto"/>
        </w:rPr>
      </w:pPr>
    </w:p>
    <w:p w14:paraId="4106091E">
      <w:pPr>
        <w:spacing w:line="360" w:lineRule="auto"/>
        <w:ind w:firstLine="2240" w:firstLineChars="700"/>
        <w:jc w:val="left"/>
        <w:rPr>
          <w:rFonts w:hint="default" w:ascii="Times New Roman" w:hAnsi="Times New Roman" w:cs="Times New Roman"/>
          <w:sz w:val="32"/>
          <w:szCs w:val="32"/>
          <w:u w:val="none" w:color="auto"/>
        </w:rPr>
      </w:pPr>
      <w:r>
        <w:rPr>
          <w:rFonts w:hint="default" w:ascii="Times New Roman" w:hAnsi="Times New Roman" w:cs="Times New Roman"/>
          <w:sz w:val="32"/>
          <w:szCs w:val="32"/>
          <w:u w:val="none" w:color="auto"/>
        </w:rPr>
        <w:t>单位名称：内蒙古自治区鄂尔多斯市卫生健康委</w:t>
      </w:r>
    </w:p>
    <w:p w14:paraId="697B9FA6">
      <w:pPr>
        <w:spacing w:line="360" w:lineRule="auto"/>
        <w:ind w:firstLine="3840" w:firstLineChars="1200"/>
        <w:jc w:val="left"/>
        <w:rPr>
          <w:rFonts w:hint="default" w:ascii="Times New Roman" w:hAnsi="Times New Roman" w:eastAsia="宋体" w:cs="Times New Roman"/>
          <w:sz w:val="32"/>
          <w:szCs w:val="32"/>
          <w:u w:val="none" w:color="auto"/>
          <w:lang w:val="en-US" w:eastAsia="zh-CN"/>
        </w:rPr>
      </w:pPr>
      <w:r>
        <w:rPr>
          <w:rFonts w:hint="default" w:ascii="Times New Roman" w:hAnsi="Times New Roman" w:cs="Times New Roman"/>
          <w:sz w:val="32"/>
          <w:szCs w:val="32"/>
          <w:u w:val="none" w:color="auto"/>
        </w:rPr>
        <w:t>员会（鄂尔多斯市中医药管</w:t>
      </w:r>
      <w:r>
        <w:rPr>
          <w:rFonts w:hint="default" w:ascii="Times New Roman" w:hAnsi="Times New Roman" w:cs="Times New Roman"/>
          <w:sz w:val="32"/>
          <w:szCs w:val="32"/>
          <w:u w:val="none" w:color="auto"/>
          <w:lang w:val="en-US" w:eastAsia="zh-CN"/>
        </w:rPr>
        <w:t>理</w:t>
      </w:r>
      <w:r>
        <w:rPr>
          <w:rFonts w:hint="default" w:ascii="Times New Roman" w:hAnsi="Times New Roman" w:cs="Times New Roman"/>
          <w:sz w:val="32"/>
          <w:szCs w:val="32"/>
          <w:u w:val="none" w:color="auto"/>
        </w:rPr>
        <w:t>局）</w:t>
      </w:r>
      <w:r>
        <w:rPr>
          <w:rFonts w:hint="eastAsia" w:cs="Times New Roman"/>
          <w:sz w:val="32"/>
          <w:szCs w:val="32"/>
          <w:u w:val="none" w:color="auto"/>
          <w:lang w:eastAsia="zh-CN"/>
        </w:rPr>
        <w:t>（</w:t>
      </w:r>
      <w:r>
        <w:rPr>
          <w:rFonts w:hint="eastAsia" w:cs="Times New Roman"/>
          <w:sz w:val="32"/>
          <w:szCs w:val="32"/>
          <w:u w:val="none" w:color="auto"/>
          <w:lang w:val="en-US" w:eastAsia="zh-CN"/>
        </w:rPr>
        <w:t>本级）</w:t>
      </w:r>
    </w:p>
    <w:p w14:paraId="25E3A7A9">
      <w:pPr>
        <w:spacing w:line="360" w:lineRule="auto"/>
        <w:ind w:firstLine="2240" w:firstLineChars="700"/>
        <w:jc w:val="left"/>
        <w:rPr>
          <w:rFonts w:hint="default" w:ascii="Times New Roman" w:hAnsi="Times New Roman" w:eastAsia="宋体" w:cs="Times New Roman"/>
          <w:sz w:val="32"/>
          <w:szCs w:val="32"/>
          <w:u w:val="none" w:color="auto"/>
          <w:lang w:eastAsia="zh-CN"/>
        </w:rPr>
      </w:pPr>
      <w:r>
        <w:rPr>
          <w:rFonts w:hint="default" w:ascii="Times New Roman" w:hAnsi="Times New Roman" w:cs="Times New Roman"/>
          <w:sz w:val="32"/>
          <w:szCs w:val="32"/>
          <w:u w:val="none" w:color="auto"/>
        </w:rPr>
        <w:t>单位负责人：</w:t>
      </w:r>
    </w:p>
    <w:p w14:paraId="2CBF8CC7">
      <w:pPr>
        <w:spacing w:line="360" w:lineRule="auto"/>
        <w:ind w:firstLine="2240" w:firstLineChars="700"/>
        <w:jc w:val="left"/>
        <w:rPr>
          <w:rFonts w:hint="default" w:ascii="Times New Roman" w:hAnsi="Times New Roman" w:cs="Times New Roman"/>
          <w:sz w:val="32"/>
          <w:szCs w:val="32"/>
          <w:u w:val="none" w:color="auto"/>
        </w:rPr>
      </w:pPr>
      <w:r>
        <w:rPr>
          <w:rFonts w:hint="default" w:ascii="Times New Roman" w:hAnsi="Times New Roman" w:cs="Times New Roman"/>
          <w:sz w:val="32"/>
          <w:szCs w:val="32"/>
          <w:u w:val="none" w:color="auto"/>
        </w:rPr>
        <w:t>财务负责人：赵瑞</w:t>
      </w:r>
    </w:p>
    <w:p w14:paraId="20D575C5">
      <w:pPr>
        <w:spacing w:line="360" w:lineRule="auto"/>
        <w:ind w:firstLine="2240" w:firstLineChars="700"/>
        <w:jc w:val="left"/>
        <w:rPr>
          <w:rFonts w:hint="default" w:ascii="Times New Roman" w:hAnsi="Times New Roman" w:cs="Times New Roman"/>
          <w:sz w:val="32"/>
          <w:szCs w:val="32"/>
          <w:u w:val="none" w:color="auto"/>
        </w:rPr>
      </w:pPr>
      <w:r>
        <w:rPr>
          <w:rFonts w:hint="default" w:ascii="Times New Roman" w:hAnsi="Times New Roman" w:cs="Times New Roman"/>
          <w:sz w:val="32"/>
          <w:szCs w:val="32"/>
          <w:u w:val="none" w:color="auto"/>
        </w:rPr>
        <w:t>编制人：张静</w:t>
      </w:r>
    </w:p>
    <w:p w14:paraId="3043EBDB">
      <w:pPr>
        <w:spacing w:line="360" w:lineRule="auto"/>
        <w:ind w:firstLine="2240" w:firstLineChars="700"/>
        <w:jc w:val="left"/>
        <w:rPr>
          <w:rFonts w:hint="default" w:ascii="Times New Roman" w:hAnsi="Times New Roman" w:cs="Times New Roman"/>
          <w:sz w:val="32"/>
          <w:szCs w:val="32"/>
          <w:u w:val="none" w:color="auto"/>
        </w:rPr>
      </w:pPr>
      <w:r>
        <w:rPr>
          <w:rFonts w:hint="default" w:ascii="Times New Roman" w:hAnsi="Times New Roman" w:cs="Times New Roman"/>
          <w:sz w:val="32"/>
          <w:szCs w:val="32"/>
          <w:u w:val="none" w:color="auto"/>
        </w:rPr>
        <w:t>报送日期：202</w:t>
      </w:r>
      <w:r>
        <w:rPr>
          <w:rFonts w:hint="default" w:ascii="Times New Roman" w:hAnsi="Times New Roman" w:cs="Times New Roman"/>
          <w:sz w:val="32"/>
          <w:szCs w:val="32"/>
          <w:u w:val="none" w:color="auto"/>
          <w:lang w:val="en-US" w:eastAsia="zh-CN"/>
        </w:rPr>
        <w:t>5</w:t>
      </w:r>
      <w:r>
        <w:rPr>
          <w:rFonts w:hint="default" w:ascii="Times New Roman" w:hAnsi="Times New Roman" w:cs="Times New Roman"/>
          <w:sz w:val="32"/>
          <w:szCs w:val="32"/>
          <w:u w:val="none" w:color="auto"/>
        </w:rPr>
        <w:t>年9月</w:t>
      </w:r>
    </w:p>
    <w:p w14:paraId="2E3CB146">
      <w:pPr>
        <w:ind w:firstLine="2249" w:firstLineChars="700"/>
        <w:rPr>
          <w:rFonts w:hint="default" w:ascii="Times New Roman" w:hAnsi="Times New Roman" w:eastAsia="仿宋" w:cs="Times New Roman"/>
          <w:b/>
          <w:sz w:val="32"/>
          <w:szCs w:val="32"/>
          <w:u w:val="none" w:color="auto"/>
        </w:rPr>
        <w:sectPr>
          <w:footerReference r:id="rId3" w:type="default"/>
          <w:pgSz w:w="11906" w:h="16838"/>
          <w:pgMar w:top="1440" w:right="1083" w:bottom="1440" w:left="1083" w:header="0" w:footer="720" w:gutter="0"/>
          <w:cols w:space="425" w:num="1"/>
          <w:docGrid w:type="lines" w:linePitch="312" w:charSpace="0"/>
        </w:sectPr>
      </w:pPr>
    </w:p>
    <w:p w14:paraId="3ED98E1B">
      <w:pPr>
        <w:widowControl/>
        <w:spacing w:after="240"/>
        <w:jc w:val="center"/>
        <w:rPr>
          <w:rFonts w:hint="default" w:ascii="Times New Roman" w:hAnsi="Times New Roman" w:eastAsia="Times New Roman" w:cs="Times New Roman"/>
          <w:kern w:val="0"/>
          <w:sz w:val="24"/>
          <w:u w:val="none" w:color="auto"/>
        </w:rPr>
      </w:pPr>
      <w:bookmarkStart w:id="0" w:name="a000"/>
      <w:r>
        <w:rPr>
          <w:rFonts w:hint="default" w:ascii="Times New Roman" w:hAnsi="Times New Roman" w:eastAsia="仿宋_GB2312" w:cs="Times New Roman"/>
          <w:b/>
          <w:bCs/>
          <w:kern w:val="0"/>
          <w:sz w:val="54"/>
          <w:szCs w:val="54"/>
          <w:u w:val="none" w:color="auto"/>
        </w:rPr>
        <w:t>目 </w:t>
      </w:r>
      <w:r>
        <w:rPr>
          <w:rFonts w:hint="default" w:ascii="Times New Roman" w:hAnsi="Times New Roman" w:eastAsia="仿宋_GB2312" w:cs="Times New Roman"/>
          <w:b/>
          <w:bCs/>
          <w:kern w:val="0"/>
          <w:sz w:val="54"/>
          <w:szCs w:val="54"/>
          <w:u w:val="none" w:color="auto"/>
          <w:lang w:val="en-US" w:eastAsia="zh-CN"/>
        </w:rPr>
        <w:t xml:space="preserve">  </w:t>
      </w:r>
      <w:r>
        <w:rPr>
          <w:rFonts w:hint="default" w:ascii="Times New Roman" w:hAnsi="Times New Roman" w:eastAsia="仿宋_GB2312" w:cs="Times New Roman"/>
          <w:b/>
          <w:bCs/>
          <w:kern w:val="0"/>
          <w:sz w:val="54"/>
          <w:szCs w:val="54"/>
          <w:u w:val="none" w:color="auto"/>
        </w:rPr>
        <w:t>录</w:t>
      </w:r>
    </w:p>
    <w:p w14:paraId="12369597">
      <w:pPr>
        <w:widowControl/>
        <w:spacing w:before="240" w:after="240"/>
        <w:jc w:val="left"/>
        <w:rPr>
          <w:rFonts w:hint="default" w:ascii="Times New Roman" w:hAnsi="Times New Roman" w:eastAsia="Times New Roman" w:cs="Times New Roman"/>
          <w:kern w:val="0"/>
          <w:sz w:val="24"/>
          <w:u w:val="none" w:color="auto"/>
        </w:rPr>
      </w:pPr>
      <w:r>
        <w:rPr>
          <w:rFonts w:hint="default" w:ascii="Times New Roman" w:hAnsi="Times New Roman" w:eastAsia="Times New Roman" w:cs="Times New Roman"/>
          <w:b/>
          <w:bCs/>
          <w:kern w:val="0"/>
          <w:sz w:val="24"/>
          <w:u w:val="none" w:color="auto"/>
        </w:rPr>
        <w:t> </w:t>
      </w:r>
    </w:p>
    <w:p w14:paraId="728DE6FD">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kern w:val="0"/>
          <w:sz w:val="32"/>
          <w:szCs w:val="32"/>
          <w:u w:val="none" w:color="auto"/>
        </w:rPr>
        <w:t>第一部分 单位概况</w:t>
      </w:r>
    </w:p>
    <w:p w14:paraId="4E2E7A4A">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一、主要职能、职责</w:t>
      </w:r>
    </w:p>
    <w:p w14:paraId="652E750A">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二、单位机构设置及决算单位构成情况</w:t>
      </w:r>
    </w:p>
    <w:p w14:paraId="086A1830">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三、</w:t>
      </w:r>
      <w:r>
        <w:rPr>
          <w:rFonts w:hint="default" w:ascii="Times New Roman" w:hAnsi="Times New Roman" w:eastAsia="times_new_roman" w:cs="Times New Roman"/>
          <w:kern w:val="0"/>
          <w:sz w:val="32"/>
          <w:szCs w:val="32"/>
          <w:u w:val="none" w:color="auto"/>
        </w:rPr>
        <w:t>2024</w:t>
      </w:r>
      <w:r>
        <w:rPr>
          <w:rFonts w:hint="default" w:ascii="Times New Roman" w:hAnsi="Times New Roman" w:eastAsia="仿宋_GB2312" w:cs="Times New Roman"/>
          <w:kern w:val="0"/>
          <w:sz w:val="32"/>
          <w:szCs w:val="32"/>
          <w:u w:val="none" w:color="auto"/>
        </w:rPr>
        <w:t>年度单位主要工作完成情况</w:t>
      </w:r>
    </w:p>
    <w:p w14:paraId="28D54B5F">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kern w:val="0"/>
          <w:sz w:val="32"/>
          <w:szCs w:val="32"/>
          <w:u w:val="none" w:color="auto"/>
        </w:rPr>
        <w:t>第二部分 单位决算情况说明</w:t>
      </w:r>
    </w:p>
    <w:p w14:paraId="3C2B7733">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一、收入支出决算总体情况说明</w:t>
      </w:r>
    </w:p>
    <w:p w14:paraId="01D5ECC0">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二、收入决算情况说明</w:t>
      </w:r>
    </w:p>
    <w:p w14:paraId="590D80EF">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三、支出决算情况说明</w:t>
      </w:r>
    </w:p>
    <w:p w14:paraId="391AFF82">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四、财政拨款收入支出决算总体情况说明</w:t>
      </w:r>
    </w:p>
    <w:p w14:paraId="6E093010">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五、一般公共预算财政拨款支出决算情况说明</w:t>
      </w:r>
    </w:p>
    <w:p w14:paraId="4FA35014">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六、一般公共预算财政拨款基本支出决算情况说明</w:t>
      </w:r>
    </w:p>
    <w:p w14:paraId="52959CD9">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七、一般公共预算财政拨款项目支出决算情况说明</w:t>
      </w:r>
    </w:p>
    <w:p w14:paraId="57CB98F4">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八、财政拨款“三公”经费支出决算情况说明</w:t>
      </w:r>
    </w:p>
    <w:p w14:paraId="21677E3E">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九、政府性基金预算财政拨款支出决算情况说明</w:t>
      </w:r>
    </w:p>
    <w:p w14:paraId="0C855FCD">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十、国有资本经营预算财政拨款支出决算情况说明</w:t>
      </w:r>
    </w:p>
    <w:p w14:paraId="0FB0ACDE">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十一、机关运行经费（公用经费）支出决算情况说明</w:t>
      </w:r>
    </w:p>
    <w:p w14:paraId="43BF2B4D">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十二、政府采购支出决算情况说明</w:t>
      </w:r>
    </w:p>
    <w:p w14:paraId="3842984A">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十三、国有资产占用情况说明</w:t>
      </w:r>
    </w:p>
    <w:p w14:paraId="3308BBE4">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十四、预算绩效情况说明</w:t>
      </w:r>
    </w:p>
    <w:p w14:paraId="51308B3E">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kern w:val="0"/>
          <w:sz w:val="32"/>
          <w:szCs w:val="32"/>
          <w:u w:val="none" w:color="auto"/>
        </w:rPr>
        <w:t>第三部分 名词解释</w:t>
      </w:r>
    </w:p>
    <w:p w14:paraId="12EE9BB7">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kern w:val="0"/>
          <w:sz w:val="32"/>
          <w:szCs w:val="32"/>
          <w:u w:val="none" w:color="auto"/>
        </w:rPr>
        <w:t>第四部分 决算公开联系方式及信息反馈渠道</w:t>
      </w:r>
    </w:p>
    <w:p w14:paraId="5B86D96A">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kern w:val="0"/>
          <w:sz w:val="32"/>
          <w:szCs w:val="32"/>
          <w:u w:val="none" w:color="auto"/>
        </w:rPr>
        <w:t>第五部分 单位决算</w:t>
      </w:r>
      <w:r>
        <w:rPr>
          <w:rFonts w:hint="default" w:ascii="Times New Roman" w:hAnsi="Times New Roman" w:eastAsia="黑体" w:cs="Times New Roman"/>
          <w:kern w:val="0"/>
          <w:sz w:val="32"/>
          <w:szCs w:val="32"/>
          <w:u w:val="none" w:color="auto"/>
          <w:lang w:val="en-US" w:eastAsia="zh-CN"/>
        </w:rPr>
        <w:t>公开</w:t>
      </w:r>
      <w:r>
        <w:rPr>
          <w:rFonts w:hint="default" w:ascii="Times New Roman" w:hAnsi="Times New Roman" w:eastAsia="黑体" w:cs="Times New Roman"/>
          <w:kern w:val="0"/>
          <w:sz w:val="32"/>
          <w:szCs w:val="32"/>
          <w:u w:val="none" w:color="auto"/>
        </w:rPr>
        <w:t>表</w:t>
      </w:r>
    </w:p>
    <w:p w14:paraId="6EF75A98">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一、收入支出决算总表</w:t>
      </w:r>
    </w:p>
    <w:p w14:paraId="31C5DC92">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二、收入决算表</w:t>
      </w:r>
    </w:p>
    <w:p w14:paraId="31D3AB3E">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三、支出决算表</w:t>
      </w:r>
    </w:p>
    <w:p w14:paraId="2853858A">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四、财政拨款收入支出决算总表</w:t>
      </w:r>
    </w:p>
    <w:p w14:paraId="61CE36A4">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五、一般公共预算财政拨款支出决算表</w:t>
      </w:r>
    </w:p>
    <w:p w14:paraId="2448BA0F">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六、一般公共预算财政拨款基本支出决算明细表</w:t>
      </w:r>
    </w:p>
    <w:p w14:paraId="6A4761B1">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七、一般公共预算财政拨款项目支出决算明细表</w:t>
      </w:r>
    </w:p>
    <w:p w14:paraId="78DBB27B">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八、政府性基金预算财政拨款收入支出决算表</w:t>
      </w:r>
    </w:p>
    <w:p w14:paraId="59E6ABF4">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九、国有资本经营预算财政拨款收入支出决算表</w:t>
      </w:r>
    </w:p>
    <w:p w14:paraId="6277A798">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十、财政拨款“三公”经费支出决算表</w:t>
      </w:r>
    </w:p>
    <w:p w14:paraId="32506F1D">
      <w:pPr>
        <w:widowControl/>
        <w:spacing w:before="240" w:after="240"/>
        <w:ind w:left="0" w:leftChars="0"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十一、机关运行经费支出、国有资产占用情况及政府采购支出信息表</w:t>
      </w:r>
    </w:p>
    <w:p w14:paraId="0EFF438C">
      <w:pPr>
        <w:widowControl/>
        <w:spacing w:before="240" w:after="240"/>
        <w:ind w:left="0" w:leftChars="0" w:firstLine="640" w:firstLineChars="200"/>
        <w:rPr>
          <w:rFonts w:hint="default" w:ascii="Times New Roman" w:hAnsi="Times New Roman" w:eastAsia="Times New Roman" w:cs="Times New Roman"/>
          <w:kern w:val="0"/>
          <w:sz w:val="32"/>
          <w:szCs w:val="32"/>
          <w:u w:val="none" w:color="auto"/>
        </w:rPr>
      </w:pPr>
    </w:p>
    <w:p w14:paraId="21C0BCD1">
      <w:pPr>
        <w:pStyle w:val="3"/>
        <w:keepNext w:val="0"/>
        <w:keepLines w:val="0"/>
        <w:widowControl/>
        <w:spacing w:before="299" w:after="299" w:line="240" w:lineRule="auto"/>
        <w:ind w:left="0" w:leftChars="0" w:firstLine="640" w:firstLineChars="200"/>
        <w:jc w:val="center"/>
        <w:rPr>
          <w:rFonts w:hint="default" w:ascii="Times New Roman" w:hAnsi="Times New Roman" w:eastAsia="fang_zheng_xiao_biao_song_ti" w:cs="Times New Roman"/>
          <w:kern w:val="0"/>
          <w:sz w:val="32"/>
          <w:szCs w:val="32"/>
          <w:u w:val="none" w:color="auto"/>
        </w:rPr>
        <w:sectPr>
          <w:footerReference r:id="rId4" w:type="default"/>
          <w:pgSz w:w="11906" w:h="16838"/>
          <w:pgMar w:top="1440" w:right="1083" w:bottom="1440" w:left="1083" w:header="0" w:footer="720" w:gutter="0"/>
          <w:cols w:space="425" w:num="1"/>
          <w:docGrid w:type="lines" w:linePitch="312" w:charSpace="0"/>
        </w:sectPr>
      </w:pPr>
    </w:p>
    <w:p w14:paraId="68AC0674">
      <w:pPr>
        <w:pStyle w:val="3"/>
        <w:keepNext w:val="0"/>
        <w:keepLines w:val="0"/>
        <w:widowControl/>
        <w:spacing w:before="299" w:after="299" w:line="240" w:lineRule="auto"/>
        <w:jc w:val="center"/>
        <w:rPr>
          <w:rFonts w:hint="default" w:ascii="Times New Roman" w:hAnsi="Times New Roman" w:eastAsia="Times New Roman" w:cs="Times New Roman"/>
          <w:b/>
          <w:bCs/>
          <w:kern w:val="0"/>
          <w:sz w:val="36"/>
          <w:szCs w:val="36"/>
          <w:u w:val="none" w:color="auto"/>
        </w:rPr>
      </w:pPr>
      <w:r>
        <w:rPr>
          <w:rFonts w:hint="default" w:ascii="Times New Roman" w:hAnsi="Times New Roman" w:eastAsia="fang_zheng_xiao_biao_song_ti" w:cs="Times New Roman"/>
          <w:kern w:val="0"/>
          <w:sz w:val="36"/>
          <w:szCs w:val="36"/>
          <w:u w:val="none" w:color="auto"/>
        </w:rPr>
        <w:t>第一部分 单位概况</w:t>
      </w:r>
    </w:p>
    <w:p w14:paraId="082D895A">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一、主要职能、职责</w:t>
      </w:r>
    </w:p>
    <w:p w14:paraId="0A04AE22">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鄂尔多斯市卫生健康委员会（鄂尔多斯市中医药管理局）贯彻党中央关于卫生健康工作的方针政策，落实自治区党委、市委相关决策部署，在履行职责过程中坚持和加强党对卫生健康工作的集中统一领导。主要职责是： </w:t>
      </w:r>
    </w:p>
    <w:p w14:paraId="0C66D051">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（一）贯彻执行国家法律法规，落实自治区关于卫生健康等方面的法规规定，研究拟订并组织实施全市卫生健康发展规划、工作方案等政策措施。 </w:t>
      </w:r>
    </w:p>
    <w:p w14:paraId="55ECC6E0">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（二）统筹规划卫生健康资源配置，编制并实施区域卫生健康规划。拟订并组织实施推进卫生健康基本公共服务均等化、普惠化、便捷化和公共资源向基层延伸等政策措施。 </w:t>
      </w:r>
    </w:p>
    <w:p w14:paraId="2029243C">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三）协调推进深化医药卫生体制改革，研究提出深化医药卫生体制改革的相关政策建议，组织实施深化公立医院综合改革，推进管办分离，健全现代医院管理制度，拟定并组织实施为推动卫生健康公共服务提供主体多元化、方式多样化的政策措施，提出医疗服务和药品价格政策的建议。 </w:t>
      </w:r>
    </w:p>
    <w:p w14:paraId="229A1ED6">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四）拟订并组织实施疾病预防控制规划和严重危害人民健康公共卫生问题的干预措施。实施国家免疫规划，负责卫生应急工作，组织指导突发公共卫生事件的预防控制和各类突发公共事件的医疗卫生救援，发布法定报告、传染病疫情信息、突发公共卫生事件应急处置信息。贯彻落实爱国卫生方针政策。 </w:t>
      </w:r>
    </w:p>
    <w:p w14:paraId="103BD8BE">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（五）负责全市老年健康工作。组织协调落实应对人口老龄化政策措施，负责推进全市老年健康服务体系建设和医养结合工作。 </w:t>
      </w:r>
    </w:p>
    <w:p w14:paraId="0215CED7">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六）组织实施国家药物政策和基本药物制度。贯彻执行食品安全地方标准，负责食品安全企业标准备案，组织开展食品安全风险监测、评估、预警和交流工作，对食源性疾病及食品安全事故有关流行病学调查提供技术支持。 </w:t>
      </w:r>
    </w:p>
    <w:p w14:paraId="7FF1A06B">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七）负责职责范围内的职业卫生、放射卫生、环境卫生、学校卫生、公共场所卫生、饮用水卫生等公共卫生的监督管理。负责传染病防治监督，健全卫生健康综合监督体系。牵头落实《烟草控制框架公约》有关工作。 </w:t>
      </w:r>
    </w:p>
    <w:p w14:paraId="77BD761F">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八）拟订并组织实施医疗机构、医疗服务行业管理办法以及医疗服务规范、标准和卫生健康专业技术人员职业规则、服务规范，会同有关部门执行卫生健康专业技术人员资格标准。建立医疗服务评价和监督管理体系。 </w:t>
      </w:r>
    </w:p>
    <w:p w14:paraId="64078DF4">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（九）负责计划生育管理和服务工作，开展人口监测预警，研究提出人口与家庭发展政策建议，完善地方计划生育工作相关制度、措施。 </w:t>
      </w:r>
    </w:p>
    <w:p w14:paraId="16C500B3">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（十）拟订并组织实施全市基层医疗卫生、妇幼健康服务体系以及全科医生队伍建设的发展规则和政策措施，推进卫生健康科技创新发展。 </w:t>
      </w:r>
    </w:p>
    <w:p w14:paraId="457A8032">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（十一）保障和促进蒙医药中医药医疗、保健、教育、科研、文化及相关产业的改革发展与对外交流合作，推进蒙医药中医药传承创新和振兴发展。 </w:t>
      </w:r>
    </w:p>
    <w:p w14:paraId="0C8AAE14">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（十二）负责市保健对象的医疗保健和预防保健工作，负责重要会议与重大活动的医疗卫生保障工作。 </w:t>
      </w:r>
    </w:p>
    <w:p w14:paraId="312E4E30">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 xml:space="preserve">（十三）负责市本级卫生、健康领域行政执法工作，查处全市性、跨旗区违法行为，办理重大行政案件。指导、监督管理旗区卫生、健康领域行政执法工作。 </w:t>
      </w:r>
    </w:p>
    <w:p w14:paraId="2A6671C8">
      <w:pPr>
        <w:widowControl/>
        <w:spacing w:before="240" w:after="240"/>
        <w:ind w:firstLine="640" w:firstLineChars="200"/>
        <w:rPr>
          <w:rFonts w:hint="default" w:ascii="Times New Roman" w:hAnsi="Times New Roman" w:eastAsia="Times New Roman" w:cs="Times New Roman"/>
          <w:color w:val="auto"/>
          <w:kern w:val="0"/>
          <w:sz w:val="32"/>
          <w:szCs w:val="32"/>
          <w:u w:val="none" w:color="auto"/>
        </w:rPr>
      </w:pPr>
      <w:r>
        <w:rPr>
          <w:rFonts w:hint="default" w:ascii="Times New Roman" w:hAnsi="Times New Roman" w:eastAsia="仿宋_GB2312" w:cs="Times New Roman"/>
          <w:color w:val="auto"/>
          <w:kern w:val="0"/>
          <w:sz w:val="32"/>
          <w:szCs w:val="32"/>
          <w:u w:val="none" w:color="auto"/>
        </w:rPr>
        <w:t>（十四）完成市委、市政府交办的其他任务。</w:t>
      </w:r>
    </w:p>
    <w:p w14:paraId="319D7C5C">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二、单位机构设置及决算单位构成情况</w:t>
      </w:r>
    </w:p>
    <w:p w14:paraId="2A36B41E">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times_new_roman" w:cs="Times New Roman"/>
          <w:kern w:val="0"/>
          <w:sz w:val="32"/>
          <w:szCs w:val="32"/>
          <w:u w:val="none" w:color="auto"/>
        </w:rPr>
        <w:t>1</w:t>
      </w:r>
      <w:r>
        <w:rPr>
          <w:rFonts w:hint="default" w:ascii="Times New Roman" w:hAnsi="Times New Roman" w:eastAsia="仿宋_GB2312" w:cs="Times New Roman"/>
          <w:kern w:val="0"/>
          <w:sz w:val="32"/>
          <w:szCs w:val="32"/>
          <w:u w:val="none" w:color="auto"/>
        </w:rPr>
        <w:t>.根据单位职责分工，本单位内设机构包括:办公室 、人事科 、规划发展与信息科 、财务审计科、法规与综合监督科 、体制改革科 、宣传科 、疾病预防控制与爱国卫生运动管理科 、医政医管科 、基层卫生健康科 、卫生应急办公室、科技教育科 、食品安全与药物政策科、妇幼健康科、职业健康科、人口家庭与老年健康科、行政审批科、蒙中医药管理综合科、蒙中医药管理业务科、公立医院党建工作指导委员会办公室、机关党委。本单位下属单位包括：鄂尔多斯市卫生健康委员会综合保障中心、鄂尔多斯市卫生健康人才考试中心、鄂尔多斯市干部保健中心（鄂尔多斯市医疗管理事务服务中心）、鄂尔多斯市计划生育协会。</w:t>
      </w:r>
    </w:p>
    <w:p w14:paraId="6F6B4017">
      <w:pPr>
        <w:widowControl/>
        <w:spacing w:before="240" w:after="240"/>
        <w:ind w:firstLine="640" w:firstLineChars="200"/>
        <w:rPr>
          <w:rFonts w:hint="default" w:ascii="Times New Roman" w:hAnsi="Times New Roman" w:eastAsia="仿宋_GB2312" w:cs="Times New Roman"/>
          <w:kern w:val="0"/>
          <w:sz w:val="32"/>
          <w:szCs w:val="32"/>
          <w:u w:val="none" w:color="auto"/>
        </w:rPr>
        <w:sectPr>
          <w:pgSz w:w="11906" w:h="16838"/>
          <w:pgMar w:top="1440" w:right="1083" w:bottom="1440" w:left="1083" w:header="0" w:footer="720" w:gutter="0"/>
          <w:cols w:space="425" w:num="1"/>
          <w:docGrid w:type="lines" w:linePitch="312" w:charSpace="0"/>
        </w:sectPr>
      </w:pPr>
      <w:r>
        <w:rPr>
          <w:rFonts w:hint="default" w:ascii="Times New Roman" w:hAnsi="Times New Roman" w:eastAsia="times_new_roman" w:cs="Times New Roman"/>
          <w:kern w:val="0"/>
          <w:sz w:val="32"/>
          <w:szCs w:val="32"/>
          <w:u w:val="none" w:color="auto"/>
        </w:rPr>
        <w:t>2</w:t>
      </w:r>
      <w:r>
        <w:rPr>
          <w:rFonts w:hint="default" w:ascii="Times New Roman" w:hAnsi="Times New Roman" w:eastAsia="仿宋_GB2312" w:cs="Times New Roman"/>
          <w:kern w:val="0"/>
          <w:sz w:val="32"/>
          <w:szCs w:val="32"/>
          <w:u w:val="none" w:color="auto"/>
        </w:rPr>
        <w:t>.从决算单位构成看，纳入本单位202</w:t>
      </w:r>
      <w:r>
        <w:rPr>
          <w:rFonts w:hint="default" w:ascii="Times New Roman" w:hAnsi="Times New Roman" w:eastAsia="仿宋_GB2312" w:cs="Times New Roman"/>
          <w:kern w:val="0"/>
          <w:sz w:val="32"/>
          <w:szCs w:val="32"/>
          <w:u w:val="none" w:color="auto"/>
          <w:lang w:val="en-US" w:eastAsia="zh-CN"/>
        </w:rPr>
        <w:t>4</w:t>
      </w:r>
      <w:r>
        <w:rPr>
          <w:rFonts w:hint="default" w:ascii="Times New Roman" w:hAnsi="Times New Roman" w:eastAsia="仿宋_GB2312" w:cs="Times New Roman"/>
          <w:kern w:val="0"/>
          <w:sz w:val="32"/>
          <w:szCs w:val="32"/>
          <w:u w:val="none" w:color="auto"/>
        </w:rPr>
        <w:t>年单位决算编制范围的预算单位共计5家，具体包括：鄂尔多斯市卫生健康委员会（鄂尔多斯市中医药管理局）（本级）、鄂尔多斯市卫生健康委员会综合保障中心、鄂尔多斯市卫生健康人才考试中心、鄂尔多斯市干部保健中心（鄂尔多斯市医疗管理事务服务中心）、鄂尔多斯市计划生育协会。详细情况见表：</w:t>
      </w:r>
    </w:p>
    <w:tbl>
      <w:tblPr>
        <w:tblStyle w:val="18"/>
        <w:tblW w:w="4999" w:type="pct"/>
        <w:jc w:val="center"/>
        <w:tblCellSpacing w:w="15" w:type="dxa"/>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Layout w:type="autofit"/>
        <w:tblCellMar>
          <w:top w:w="15" w:type="dxa"/>
          <w:left w:w="15" w:type="dxa"/>
          <w:bottom w:w="15" w:type="dxa"/>
          <w:right w:w="15" w:type="dxa"/>
        </w:tblCellMar>
      </w:tblPr>
      <w:tblGrid>
        <w:gridCol w:w="1147"/>
        <w:gridCol w:w="5702"/>
        <w:gridCol w:w="3023"/>
      </w:tblGrid>
      <w:tr w14:paraId="4C5C2906">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460" w:hRule="atLeast"/>
          <w:tblHeader/>
          <w:tblCellSpacing w:w="15" w:type="dxa"/>
          <w:jc w:val="center"/>
        </w:trPr>
        <w:tc>
          <w:tcPr>
            <w:tcW w:w="55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5986DF58">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序号</w:t>
            </w:r>
          </w:p>
        </w:tc>
        <w:tc>
          <w:tcPr>
            <w:tcW w:w="2872"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4900E5B">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单位名称</w:t>
            </w:r>
          </w:p>
        </w:tc>
        <w:tc>
          <w:tcPr>
            <w:tcW w:w="150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E9F22ED">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单位性质</w:t>
            </w:r>
          </w:p>
        </w:tc>
      </w:tr>
      <w:tr w14:paraId="59B8BCBC">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55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AD532FE">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1</w:t>
            </w:r>
          </w:p>
        </w:tc>
        <w:tc>
          <w:tcPr>
            <w:tcW w:w="2872"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2571577">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鄂尔多斯市卫生健康委员会（鄂尔多斯市中医药管理局）（本级）</w:t>
            </w:r>
          </w:p>
        </w:tc>
        <w:tc>
          <w:tcPr>
            <w:tcW w:w="150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EA4328E">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行政单位</w:t>
            </w:r>
          </w:p>
        </w:tc>
      </w:tr>
      <w:tr w14:paraId="22ABD42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55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5C66575">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2</w:t>
            </w:r>
          </w:p>
        </w:tc>
        <w:tc>
          <w:tcPr>
            <w:tcW w:w="2872"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6C7DB852">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鄂尔多斯市卫生健康委员会综合保障中心</w:t>
            </w:r>
          </w:p>
        </w:tc>
        <w:tc>
          <w:tcPr>
            <w:tcW w:w="150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5F54B3C5">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公益一类事业单位</w:t>
            </w:r>
          </w:p>
        </w:tc>
      </w:tr>
      <w:tr w14:paraId="57192063">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8" w:hRule="atLeast"/>
          <w:tblCellSpacing w:w="15" w:type="dxa"/>
          <w:jc w:val="center"/>
        </w:trPr>
        <w:tc>
          <w:tcPr>
            <w:tcW w:w="55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661EBF19">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3</w:t>
            </w:r>
          </w:p>
        </w:tc>
        <w:tc>
          <w:tcPr>
            <w:tcW w:w="2872"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3E236B55">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鄂尔多斯市卫生健康人才考试中心</w:t>
            </w:r>
          </w:p>
        </w:tc>
        <w:tc>
          <w:tcPr>
            <w:tcW w:w="150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2BA318EE">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公益一类事业单位</w:t>
            </w:r>
          </w:p>
        </w:tc>
      </w:tr>
      <w:tr w14:paraId="28A0A2FD">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5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0C796401">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lang w:val="en-US" w:eastAsia="zh-CN"/>
              </w:rPr>
            </w:pPr>
            <w:r>
              <w:rPr>
                <w:rFonts w:hint="default" w:ascii="Times New Roman" w:hAnsi="Times New Roman" w:eastAsia="仿宋_GB2312" w:cs="Times New Roman"/>
                <w:b w:val="0"/>
                <w:bCs w:val="0"/>
                <w:i w:val="0"/>
                <w:iCs w:val="0"/>
                <w:smallCaps w:val="0"/>
                <w:color w:val="000000"/>
                <w:kern w:val="0"/>
                <w:sz w:val="32"/>
                <w:szCs w:val="32"/>
                <w:u w:val="none" w:color="auto"/>
                <w:lang w:val="en-US" w:eastAsia="zh-CN"/>
              </w:rPr>
              <w:t>4</w:t>
            </w:r>
          </w:p>
        </w:tc>
        <w:tc>
          <w:tcPr>
            <w:tcW w:w="2872"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537D28DB">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鄂尔多斯市干部保健中心（鄂尔多斯市医疗管理事务服务中心）</w:t>
            </w:r>
          </w:p>
        </w:tc>
        <w:tc>
          <w:tcPr>
            <w:tcW w:w="150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4F173994">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公益一类事业单位</w:t>
            </w:r>
          </w:p>
        </w:tc>
      </w:tr>
      <w:tr w14:paraId="22F5B8FE">
        <w:tblPrEx>
          <w:tblBorders>
            <w:top w:val="outset" w:color="808080" w:sz="6" w:space="0"/>
            <w:left w:val="outset" w:color="808080" w:sz="6" w:space="0"/>
            <w:bottom w:val="outset" w:color="808080" w:sz="6" w:space="0"/>
            <w:right w:val="outset" w:color="808080" w:sz="6" w:space="0"/>
            <w:insideH w:val="none" w:color="auto" w:sz="0" w:space="0"/>
            <w:insideV w:val="none" w:color="auto" w:sz="0" w:space="0"/>
          </w:tblBorders>
          <w:tblCellMar>
            <w:top w:w="15" w:type="dxa"/>
            <w:left w:w="15" w:type="dxa"/>
            <w:bottom w:w="15" w:type="dxa"/>
            <w:right w:w="15" w:type="dxa"/>
          </w:tblCellMar>
        </w:tblPrEx>
        <w:trPr>
          <w:trHeight w:val="369" w:hRule="atLeast"/>
          <w:tblCellSpacing w:w="15" w:type="dxa"/>
          <w:jc w:val="center"/>
        </w:trPr>
        <w:tc>
          <w:tcPr>
            <w:tcW w:w="55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62FE645C">
            <w:pPr>
              <w:widowControl/>
              <w:jc w:val="center"/>
              <w:rPr>
                <w:rFonts w:hint="default" w:ascii="Times New Roman" w:hAnsi="Times New Roman" w:eastAsia="仿宋_GB2312" w:cs="Times New Roman"/>
                <w:b w:val="0"/>
                <w:bCs w:val="0"/>
                <w:i w:val="0"/>
                <w:iCs w:val="0"/>
                <w:smallCaps w:val="0"/>
                <w:color w:val="000000"/>
                <w:kern w:val="0"/>
                <w:sz w:val="32"/>
                <w:szCs w:val="32"/>
                <w:u w:val="none" w:color="auto"/>
                <w:lang w:eastAsia="zh-CN"/>
              </w:rPr>
            </w:pPr>
            <w:r>
              <w:rPr>
                <w:rFonts w:hint="default" w:ascii="Times New Roman" w:hAnsi="Times New Roman" w:eastAsia="仿宋_GB2312" w:cs="Times New Roman"/>
                <w:b w:val="0"/>
                <w:bCs w:val="0"/>
                <w:i w:val="0"/>
                <w:iCs w:val="0"/>
                <w:smallCaps w:val="0"/>
                <w:color w:val="000000"/>
                <w:kern w:val="0"/>
                <w:sz w:val="32"/>
                <w:szCs w:val="32"/>
                <w:u w:val="none" w:color="auto"/>
                <w:lang w:val="en-US" w:eastAsia="zh-CN"/>
              </w:rPr>
              <w:t>5</w:t>
            </w:r>
          </w:p>
        </w:tc>
        <w:tc>
          <w:tcPr>
            <w:tcW w:w="2872"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5185F412">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鄂尔多斯市计划生育协会</w:t>
            </w:r>
          </w:p>
        </w:tc>
        <w:tc>
          <w:tcPr>
            <w:tcW w:w="1508" w:type="pct"/>
            <w:tcBorders>
              <w:top w:val="inset" w:color="808080" w:sz="6" w:space="0"/>
              <w:left w:val="inset" w:color="808080" w:sz="6" w:space="0"/>
              <w:bottom w:val="inset" w:color="808080" w:sz="6" w:space="0"/>
              <w:right w:val="inset" w:color="808080" w:sz="6" w:space="0"/>
            </w:tcBorders>
            <w:noWrap w:val="0"/>
            <w:tcMar>
              <w:top w:w="22" w:type="dxa"/>
              <w:left w:w="22" w:type="dxa"/>
              <w:bottom w:w="22" w:type="dxa"/>
              <w:right w:w="22" w:type="dxa"/>
            </w:tcMar>
            <w:vAlign w:val="center"/>
          </w:tcPr>
          <w:p w14:paraId="12317608">
            <w:pPr>
              <w:widowControl/>
              <w:jc w:val="left"/>
              <w:rPr>
                <w:rFonts w:hint="default" w:ascii="Times New Roman" w:hAnsi="Times New Roman" w:eastAsia="仿宋_GB2312" w:cs="Times New Roman"/>
                <w:b w:val="0"/>
                <w:bCs w:val="0"/>
                <w:i w:val="0"/>
                <w:iCs w:val="0"/>
                <w:smallCaps w:val="0"/>
                <w:color w:val="000000"/>
                <w:kern w:val="0"/>
                <w:sz w:val="32"/>
                <w:szCs w:val="32"/>
                <w:u w:val="none" w:color="auto"/>
              </w:rPr>
            </w:pPr>
            <w:r>
              <w:rPr>
                <w:rFonts w:hint="default" w:ascii="Times New Roman" w:hAnsi="Times New Roman" w:eastAsia="仿宋_GB2312" w:cs="Times New Roman"/>
                <w:b w:val="0"/>
                <w:bCs w:val="0"/>
                <w:i w:val="0"/>
                <w:iCs w:val="0"/>
                <w:smallCaps w:val="0"/>
                <w:color w:val="000000"/>
                <w:kern w:val="0"/>
                <w:sz w:val="32"/>
                <w:szCs w:val="32"/>
                <w:u w:val="none" w:color="auto"/>
              </w:rPr>
              <w:t>公益</w:t>
            </w:r>
            <w:r>
              <w:rPr>
                <w:rFonts w:hint="default" w:ascii="Times New Roman" w:hAnsi="Times New Roman" w:eastAsia="仿宋_GB2312" w:cs="Times New Roman"/>
                <w:b w:val="0"/>
                <w:bCs w:val="0"/>
                <w:i w:val="0"/>
                <w:iCs w:val="0"/>
                <w:smallCaps w:val="0"/>
                <w:color w:val="000000"/>
                <w:kern w:val="0"/>
                <w:sz w:val="32"/>
                <w:szCs w:val="32"/>
                <w:u w:val="none" w:color="auto"/>
                <w:lang w:val="en-US" w:eastAsia="zh-CN"/>
              </w:rPr>
              <w:t>一</w:t>
            </w:r>
            <w:r>
              <w:rPr>
                <w:rFonts w:hint="default" w:ascii="Times New Roman" w:hAnsi="Times New Roman" w:eastAsia="仿宋_GB2312" w:cs="Times New Roman"/>
                <w:b w:val="0"/>
                <w:bCs w:val="0"/>
                <w:i w:val="0"/>
                <w:iCs w:val="0"/>
                <w:smallCaps w:val="0"/>
                <w:color w:val="000000"/>
                <w:kern w:val="0"/>
                <w:sz w:val="32"/>
                <w:szCs w:val="32"/>
                <w:u w:val="none" w:color="auto"/>
              </w:rPr>
              <w:t>类事业单位</w:t>
            </w:r>
          </w:p>
        </w:tc>
      </w:tr>
    </w:tbl>
    <w:p w14:paraId="14DBB354">
      <w:pPr>
        <w:widowControl/>
        <w:spacing w:before="240" w:after="240"/>
        <w:jc w:val="left"/>
        <w:rPr>
          <w:rFonts w:hint="default" w:ascii="Times New Roman" w:hAnsi="Times New Roman" w:eastAsia="Times New Roman" w:cs="Times New Roman"/>
          <w:kern w:val="0"/>
          <w:sz w:val="24"/>
          <w:u w:val="none" w:color="auto"/>
        </w:rPr>
      </w:pPr>
      <w:r>
        <w:rPr>
          <w:rFonts w:hint="default" w:ascii="Times New Roman" w:hAnsi="Times New Roman" w:eastAsia="仿宋_GB2312" w:cs="Times New Roman"/>
          <w:color w:val="0E00FE"/>
          <w:kern w:val="0"/>
          <w:sz w:val="27"/>
          <w:szCs w:val="27"/>
          <w:u w:val="none" w:color="auto"/>
        </w:rPr>
        <w:t> </w:t>
      </w:r>
    </w:p>
    <w:p w14:paraId="2A19A3DE">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三、2024年度单位主要工作完成情况</w:t>
      </w:r>
    </w:p>
    <w:p w14:paraId="6A57BF2C">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2024年，市卫健委领导班子系统坚持以人民健康为中心，牢固树立“大卫生、大健康”理念，稳中求进、砥砺奋进，全力推动全市医疗资源再拓展、医疗服务水平再提升，全方位全周期维护人民健康和生命安全。连续四年在全区健康内蒙古行动和综合医改成效考核中，取得优秀等次。荣获2024年度全国卫生健康先进集体称号。</w:t>
      </w:r>
    </w:p>
    <w:p w14:paraId="6175CA26">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一）高位推动，纵深推进医药卫生体制改革。组织召开全市体改工作会议，对医疗管理与改革、公立医院晋位升级等重点工作进行部署。印发《鄂尔多斯市进一步完善医疗卫生服务体系实施方案》，完成院长目标考核并兑现年薪，二级以上公立医院全部推行总会计师委派制度。全面推进紧密型县域医共体建设，在全区率先实现紧密型县域医共体全覆盖，6个承建旗达到国家医共体建设考核标准，县域内基层医疗卫生机构门急诊人次占比较去年同期增长23%。出台《鄂尔多斯市直属医疗卫生机构高层次人才和紧缺专业人才引进培养实施办法》，为卫生健康人才引进提供政策支持，累计招聘引进各类卫生健康人才1152人，其中高层次卫生健康人才117人。</w:t>
      </w:r>
    </w:p>
    <w:p w14:paraId="691BBEB8">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二）强基固本，着力提升医疗服务能力。市中心医院东胜部医疗综合楼、市二医院改扩建工程、市疾控中心实验室建成投用，累计完成投资7.27亿元。市中心医院建成以急诊急救“五大中心”为核心的自治区级区域医疗中心，实现胸痛、创伤、卒中等急危重症患者及时、快速、一体化救治。推进建设国家肝胆精益化诊疗分中心和天津市肿瘤医院鄂尔多斯市肿瘤医学中心，以肿瘤高发病种为切入点，加快实现群众“大病不出市”的目标。市妇幼保健院挂牌市妇女儿童医院、上海儿童医学中心蒙西分中心、国际和平妇幼保健院鄂尔多斯医院，为全市妇女儿童提供更加全面、优质、高效的全生命周期健康服务，挂牌合作以来，全市儿科就诊人数同比上升64.7%，产科就诊人数同比上升31%。建立31个市级质控中心、12个旗区级质控中心，实现四级质控网络全覆盖。成功与上海交通大学内蒙古研究院签署《共建临床医学转化创新中心合作协议》，促进上海交大优势医疗资源在我市落地与转化。积极推动与自治区医学科学院等部门开展科研联合定向基金项目，着力提升科研创新能力。在建国家临床重点专科1个、自治区临床重点专科4个。印发《基层医疗卫生服务能力提升行动实施方案》，加大基层医疗卫生机构基础设施建设和人才配备，新（改扩）建机构24个，配备设施设备482台（件），招聘基层卫生技术人员466人。开展优质服务基层行活动，建成社区医院8个、国家推荐标准机构40个、国家建设标准机构126个，创建率分别达17.5%、30.8%、97%，指标均位居全区前列。全面推行“暖城友医”项目，为全市122个嘎查村卫生室和89个苏木乡镇卫生院配备远程医疗设备，支持乡村医生就近为农牧区群众提供尿常规、血生化、超声等30余项检查检验服务，并与市外120家二级及以上医院开展远程在线问诊，打通分级诊疗“最后一公里”，全市63.3%的嘎查村卫生室具备远程医疗服务能力。做实家庭医生签约服务，常住人口签约率由65%提升到75%，其中脱贫人口、乡村振兴重点监测户及慢病群体监测覆盖率均达100%。</w:t>
      </w:r>
    </w:p>
    <w:p w14:paraId="49C9C74F">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三）预防为主，筑牢公共卫生防护网。稳步推进疾控体系改革，顺利完成市、旗两级疾控中心和卫生监督机构合并重组、人员转隶等工作。完成10个传染病监测预警中心建设，23家二级以上公立医疗机构传染病监测预警前置软件安装率达100%。抓好重大传染病防控，传染病报告率较去年同期下降45.63％，响应率达100%。加强鼠疫监测和防治，杭锦旗、鄂托克旗动物间鼠疫疫情4处疫点均及时有效处置。二级及以上公立医疗机构在全区率先实现食源性疾病监测直报全覆盖。在康巴什区、伊旗开展医疗机构疾控监督员试点，选派37名专兼职疾控监督员进驻医疗机构，试点医疗机构疾病预防控制水平得到有效提升。强化卫生监督执法能力，成立市级医疗监督执法专家库，落实对医疗机构的日常监督和抽查，规范民营医院依法执业，累计检查医疗公卫机构及各类公共场所1.2万家次，发现问题数2800余条，下达卫生监督意见书1.1万余份，处罚案件259件，整改2655条，累计处罚金额184.418万元。国家、市本级双随机任务966户监督检查完成率达100%。开展职业卫生分级分类监管工作，鄂托克旗被确定为自治区职业卫生分类监管试点。全市重点职业病监测开展率达100%，348家企业纳入职业病危害专项治理企业，建成4家尘肺病康复站，选送的职业健康视频作品《成长》荣获国家第三届职业健康传播作品视频组三等奖，荣获自治区职业健康技能大赛团体二等奖。大力保障临床用血安全，组建由全市卫健系统1909名干部职工组成的血液应急保障队伍，保障各类突发事件和重大活动的血液需求。完善紧急医学救援体系建设，成立了116人的市级综合应急队伍，每个旗区均成立了不少于30人的应急小分队，同步组建了54人的市旗两级传染病应急小分队，均配备携行装备。持续推进东胜区和乌审旗国家慢性病综合防控示范区创建工作，正在等待国家验收。</w:t>
      </w:r>
    </w:p>
    <w:p w14:paraId="7A2CAA0C">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四）坚持精准发力，全面提升重点人群服务水平。认真贯彻落实二孩三孩生育政策，申报二孩三孩补贴7824人，补贴金额1665.95万元，已全部发放到位。开展“十五分钟托育服务圈”民生实事，建成20个“萌宝驿站”，新增托位数635个，每千人拥有托位数达4.86个，超过全国和全区平均水平。全市托育机构备案129家，备案率达62.3%，超过自治区平均水平。开展安宁疗护病区建设，建成安宁疗护病区12个，安宁床位116个，安宁疗护服务1644人。全市二级以上公立综合医院、中蒙医医院老年病科建设率达到100%，医疗与养老结合率达到100%。推进适龄妇女“两癌”筛查，加强宫颈癌疫苗接种，筛查率达73%，接种率达88.9%。持续做好新生儿遗传代谢性疾病、新生儿耳聋基因、儿童先心病及孕产妇无创产前基因检测，已惠及15万人次孕产妇和新生儿，阳性患者均通过绿色转诊及时救治。开展40周岁以上户籍居民肝癌、肺癌、结直肠癌及“四高”筛查，累计筛查25.97万人，其中，肝癌、肺癌高风险率2.55%，结直肠癌高风险率8.34%，癌症早诊率和治疗率有效提升。宫颈癌、乳腺癌综合防治工作获得全国爱卫办通报表彰，成为全国5个癌症综合防治工作联系城市之一。</w:t>
      </w:r>
    </w:p>
    <w:p w14:paraId="72B12829">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五）坚持统筹协调，加快推进健康鄂尔多斯建设。积极推动“将健康融入所有政策”，制定《鄂尔多斯市健康影响评价评估制度建设实施方案（草案）》，起草《健康优先发展战略五年规划》，促进形成政府主导、部门联动、全社会参与的健康优先发展战略工作机制。落实健康优先发展战略，推进“健康细胞”工程，建成国家级健康县区2个、自治区级7个，打造健康村、健康机关等健康细胞1427个，全市居民健康素养水平达到34.7%，位列全区第一。深入开展爱国卫生运动，印发《鄂尔多斯市国家卫生城市管理办法》，推进国家卫生城镇常态长效管理，新申报37个国家卫生乡镇。圆满完成由中央文明办、国家卫生健康委主办的2024年世界人口日主题宣传活动、“名医走基层—志愿服务行”及“中国好医生 中国好护士”走进鄂尔多斯现场交流活动,荣获国家卫健委人口与健康杂志社2024年度宣传工作优秀单位称号。</w:t>
      </w:r>
    </w:p>
    <w:p w14:paraId="027C08E4">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六）坚持中（蒙）西医并重，充分发挥中蒙医药特色优势。推进中医药（蒙医药）强市建设，市中医医院成立国医大师王晞星学术传承工作室，市蒙医医院成立中医药（蒙医药）研究开发国际合作内蒙古院士工作站，中医药（蒙医药）呈现出蓬勃发展的良好态势。强化公立中医（蒙医）医院优势重点专科建设，确定36个市级重点优势专科建设项目。加强基层中医药（蒙医药）服务能力，建成基础型中医馆（蒙医馆）130个，其中优质型122个，示范型20个，建成率分别为100%、94%、15.4%；建成中医阁（蒙医阁）167个，建成率26.6%。强化中医药（蒙医药）特色人才培养，获得自治区中医药（蒙医药）继续教育项目7项，抓好骨干人才培训、全科医生转岗培训、农村订单定向免费医学生培养、中医（蒙医）医术确有专长人员医师资格考核等工作，积极为基层输送中蒙医人才。申报“妇孺国医堂”建设项目，市中医医院、市妇幼保健院成功立项。</w:t>
      </w:r>
    </w:p>
    <w:p w14:paraId="41BCE5EC">
      <w:pPr>
        <w:widowControl/>
        <w:spacing w:before="240" w:after="240"/>
        <w:ind w:firstLine="640" w:firstLineChars="20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七）坚持数字赋能，强化卫生健康信息化服务能力建设。实施卫生健康信息化能力提升“攻坚”行动，率先在全区建成检查检验结果互认系统，实现99项医学检验项目和387项医学影像检查项目结果互认。建设西部地级市首个医学影像云平台，实现市域内影像互联互通互认，已累计上传影像检查报告380万余例。互联网医院综合服务管理平台、医共体信息管理平台、慢病健康监测管理云平台均实现上线运行。升级鄂尔多斯健康宝小程序，拓展完善病历邮寄、献血、两癌四高筛查、投诉建议等46项医疗健康服务。全民健康信息平台成功通过国家医疗健康信息互联互通标准化成熟度五级乙等测评，跻身全国地级市第13位，卫生健康信息化发展指数连续两年位列全国地级市前50位。</w:t>
      </w:r>
    </w:p>
    <w:p w14:paraId="0AF2BFC7">
      <w:pPr>
        <w:widowControl/>
        <w:spacing w:before="240" w:after="240"/>
        <w:jc w:val="left"/>
        <w:rPr>
          <w:rFonts w:hint="default" w:ascii="Times New Roman" w:hAnsi="Times New Roman" w:eastAsia="Times New Roman" w:cs="Times New Roman"/>
          <w:kern w:val="0"/>
          <w:sz w:val="24"/>
          <w:u w:val="none" w:color="auto"/>
        </w:rPr>
      </w:pPr>
    </w:p>
    <w:p w14:paraId="6EAE9D10">
      <w:pPr>
        <w:pStyle w:val="3"/>
        <w:keepNext w:val="0"/>
        <w:keepLines w:val="0"/>
        <w:widowControl/>
        <w:spacing w:before="299" w:after="299" w:line="240" w:lineRule="auto"/>
        <w:jc w:val="center"/>
        <w:rPr>
          <w:rFonts w:hint="default" w:ascii="Times New Roman" w:hAnsi="Times New Roman" w:eastAsia="Times New Roman" w:cs="Times New Roman"/>
          <w:b/>
          <w:bCs/>
          <w:kern w:val="0"/>
          <w:sz w:val="36"/>
          <w:szCs w:val="36"/>
          <w:u w:val="none" w:color="auto"/>
        </w:rPr>
      </w:pPr>
      <w:r>
        <w:rPr>
          <w:rFonts w:hint="default" w:ascii="Times New Roman" w:hAnsi="Times New Roman" w:eastAsia="fang_zheng_xiao_biao_song_ti" w:cs="Times New Roman"/>
          <w:kern w:val="0"/>
          <w:sz w:val="36"/>
          <w:szCs w:val="36"/>
          <w:u w:val="none" w:color="auto"/>
        </w:rPr>
        <w:t>第二部分 单位决算情况说明</w:t>
      </w:r>
    </w:p>
    <w:p w14:paraId="654B1F45">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一、收入支出决算总体情况说明</w:t>
      </w:r>
    </w:p>
    <w:p w14:paraId="721B58DD">
      <w:pPr>
        <w:widowControl/>
        <w:spacing w:before="240" w:after="240"/>
        <w:ind w:firstLine="640" w:firstLineChars="200"/>
        <w:rPr>
          <w:rFonts w:hint="default" w:ascii="Times New Roman" w:hAnsi="Times New Roman" w:eastAsia="仿宋_GB2312" w:cs="Times New Roman"/>
          <w:kern w:val="0"/>
          <w:sz w:val="32"/>
          <w:szCs w:val="32"/>
          <w:u w:val="none" w:color="auto"/>
          <w:lang w:val="en-US" w:eastAsia="zh-CN"/>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仿宋_GB2312" w:cs="Times New Roman"/>
          <w:color w:val="000000"/>
          <w:kern w:val="0"/>
          <w:sz w:val="32"/>
          <w:szCs w:val="32"/>
          <w:u w:val="none" w:color="auto"/>
        </w:rPr>
        <w:t>2024年度收入、支出决算总计均为</w:t>
      </w:r>
      <w:r>
        <w:rPr>
          <w:rFonts w:hint="default" w:ascii="Times New Roman" w:hAnsi="Times New Roman" w:eastAsia="Times New Roman" w:cs="Times New Roman"/>
          <w:color w:val="000000"/>
          <w:kern w:val="0"/>
          <w:sz w:val="32"/>
          <w:szCs w:val="32"/>
          <w:u w:val="none" w:color="auto"/>
        </w:rPr>
        <w:t>5</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 New Roman" w:cs="Times New Roman"/>
          <w:color w:val="000000"/>
          <w:kern w:val="0"/>
          <w:sz w:val="32"/>
          <w:szCs w:val="32"/>
          <w:u w:val="none" w:color="auto"/>
        </w:rPr>
        <w:t>149.69</w:t>
      </w:r>
      <w:r>
        <w:rPr>
          <w:rFonts w:hint="default" w:ascii="Times New Roman" w:hAnsi="Times New Roman" w:eastAsia="仿宋_GB2312" w:cs="Times New Roman"/>
          <w:color w:val="000000"/>
          <w:kern w:val="0"/>
          <w:sz w:val="32"/>
          <w:szCs w:val="32"/>
          <w:u w:val="none" w:color="auto"/>
        </w:rPr>
        <w:t>万元。与年初预算相比，收、支总计各减少</w:t>
      </w:r>
      <w:r>
        <w:rPr>
          <w:rFonts w:hint="default" w:ascii="Times New Roman" w:hAnsi="Times New Roman" w:eastAsia="Times New Roman" w:cs="Times New Roman"/>
          <w:color w:val="000000"/>
          <w:kern w:val="0"/>
          <w:sz w:val="32"/>
          <w:szCs w:val="32"/>
          <w:u w:val="none" w:color="auto"/>
        </w:rPr>
        <w:t>6</w:t>
      </w:r>
      <w:r>
        <w:rPr>
          <w:rFonts w:hint="eastAsia" w:eastAsia="宋体" w:cs="Times New Roman"/>
          <w:color w:val="000000"/>
          <w:kern w:val="0"/>
          <w:sz w:val="32"/>
          <w:szCs w:val="32"/>
          <w:u w:val="none" w:color="auto"/>
          <w:lang w:val="en-US" w:eastAsia="zh-CN"/>
        </w:rPr>
        <w:t>,</w:t>
      </w:r>
      <w:r>
        <w:rPr>
          <w:rFonts w:hint="default" w:ascii="Times New Roman" w:hAnsi="Times New Roman" w:eastAsia="Times New Roman" w:cs="Times New Roman"/>
          <w:color w:val="000000"/>
          <w:kern w:val="0"/>
          <w:sz w:val="32"/>
          <w:szCs w:val="32"/>
          <w:u w:val="none" w:color="auto"/>
        </w:rPr>
        <w:t>410.92</w:t>
      </w:r>
      <w:r>
        <w:rPr>
          <w:rFonts w:hint="default" w:ascii="Times New Roman" w:hAnsi="Times New Roman" w:eastAsia="仿宋_GB2312" w:cs="Times New Roman"/>
          <w:color w:val="000000"/>
          <w:kern w:val="0"/>
          <w:sz w:val="32"/>
          <w:szCs w:val="32"/>
          <w:u w:val="none" w:color="auto"/>
        </w:rPr>
        <w:t>万元，下降</w:t>
      </w:r>
      <w:r>
        <w:rPr>
          <w:rFonts w:hint="default" w:ascii="Times New Roman" w:hAnsi="Times New Roman" w:eastAsia="Times New Roman" w:cs="Times New Roman"/>
          <w:color w:val="000000"/>
          <w:kern w:val="0"/>
          <w:sz w:val="32"/>
          <w:szCs w:val="32"/>
          <w:u w:val="none" w:color="auto"/>
        </w:rPr>
        <w:t>55.45</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highlight w:val="none"/>
          <w:u w:val="none" w:color="auto"/>
        </w:rPr>
        <w:t>变动原因：</w:t>
      </w:r>
      <w:r>
        <w:rPr>
          <w:rFonts w:hint="default" w:ascii="Times New Roman" w:hAnsi="Times New Roman" w:eastAsia="仿宋_GB2312" w:cs="Times New Roman"/>
          <w:color w:val="000000"/>
          <w:kern w:val="0"/>
          <w:sz w:val="32"/>
          <w:szCs w:val="32"/>
          <w:highlight w:val="none"/>
          <w:u w:val="none" w:color="auto"/>
          <w:lang w:val="en-US" w:eastAsia="zh-CN"/>
        </w:rPr>
        <w:t>本单位为行业主管部门，年初预算中包括部门代编预算，年中分配到市直所属单位执行预算</w:t>
      </w:r>
      <w:r>
        <w:rPr>
          <w:rFonts w:hint="default" w:ascii="Times New Roman" w:hAnsi="Times New Roman" w:eastAsia="仿宋_GB2312" w:cs="Times New Roman"/>
          <w:color w:val="000000"/>
          <w:kern w:val="0"/>
          <w:sz w:val="32"/>
          <w:szCs w:val="32"/>
          <w:highlight w:val="none"/>
          <w:u w:val="none" w:color="auto"/>
        </w:rPr>
        <w:t>；</w:t>
      </w:r>
      <w:r>
        <w:rPr>
          <w:rFonts w:hint="default" w:ascii="Times New Roman" w:hAnsi="Times New Roman" w:eastAsia="仿宋_GB2312" w:cs="Times New Roman"/>
          <w:color w:val="000000"/>
          <w:kern w:val="0"/>
          <w:sz w:val="32"/>
          <w:szCs w:val="32"/>
          <w:u w:val="none" w:color="auto"/>
        </w:rPr>
        <w:t>与上年决算相比，收、支总计各增加</w:t>
      </w:r>
      <w:r>
        <w:rPr>
          <w:rFonts w:hint="default" w:ascii="Times New Roman" w:hAnsi="Times New Roman" w:eastAsia="Times New Roman" w:cs="Times New Roman"/>
          <w:color w:val="000000"/>
          <w:kern w:val="0"/>
          <w:sz w:val="32"/>
          <w:szCs w:val="32"/>
          <w:u w:val="none" w:color="auto"/>
        </w:rPr>
        <w:t>575.66</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12.59</w:t>
      </w:r>
      <w:r>
        <w:rPr>
          <w:rFonts w:hint="default" w:ascii="Times New Roman" w:hAnsi="Times New Roman" w:eastAsia="仿宋_GB2312" w:cs="Times New Roman"/>
          <w:color w:val="000000"/>
          <w:kern w:val="0"/>
          <w:sz w:val="32"/>
          <w:szCs w:val="32"/>
          <w:u w:val="none" w:color="auto"/>
        </w:rPr>
        <w:t>%。其中：</w:t>
      </w:r>
      <w:r>
        <w:rPr>
          <w:rFonts w:hint="default" w:ascii="Times New Roman" w:hAnsi="Times New Roman" w:eastAsia="仿宋_GB2312" w:cs="Times New Roman"/>
          <w:color w:val="000000"/>
          <w:kern w:val="0"/>
          <w:sz w:val="32"/>
          <w:szCs w:val="32"/>
          <w:u w:val="none" w:color="auto"/>
          <w:lang w:val="en-US" w:eastAsia="zh-CN"/>
        </w:rPr>
        <w:t>本年度支出鄂尔多斯市慢病健康监测管理云平台、鄂尔多斯市检验检查互认平台、鄂尔多斯市互联网医院综合服务管理平台三项信息化建设项目的验收款，收支较上年度有所增加。</w:t>
      </w:r>
    </w:p>
    <w:p w14:paraId="415BFB20">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color w:val="000000"/>
          <w:kern w:val="0"/>
          <w:sz w:val="32"/>
          <w:szCs w:val="32"/>
          <w:u w:val="none" w:color="auto"/>
        </w:rPr>
        <w:t>    （一）收入决算总计</w:t>
      </w:r>
      <w:r>
        <w:rPr>
          <w:rFonts w:hint="default" w:ascii="Times New Roman" w:hAnsi="Times New Roman" w:eastAsia="times_new_roman" w:cs="Times New Roman"/>
          <w:b/>
          <w:bCs/>
          <w:color w:val="000000"/>
          <w:kern w:val="0"/>
          <w:sz w:val="32"/>
          <w:szCs w:val="32"/>
          <w:u w:val="none" w:color="auto"/>
        </w:rPr>
        <w:t>5</w:t>
      </w:r>
      <w:r>
        <w:rPr>
          <w:rFonts w:hint="default" w:ascii="Times New Roman" w:hAnsi="Times New Roman" w:eastAsia="宋体" w:cs="Times New Roman"/>
          <w:b/>
          <w:bCs/>
          <w:color w:val="000000"/>
          <w:kern w:val="0"/>
          <w:sz w:val="32"/>
          <w:szCs w:val="32"/>
          <w:u w:val="none" w:color="auto"/>
          <w:lang w:val="en-US" w:eastAsia="zh-CN"/>
        </w:rPr>
        <w:t>,</w:t>
      </w:r>
      <w:r>
        <w:rPr>
          <w:rFonts w:hint="default" w:ascii="Times New Roman" w:hAnsi="Times New Roman" w:eastAsia="times_new_roman" w:cs="Times New Roman"/>
          <w:b/>
          <w:bCs/>
          <w:color w:val="000000"/>
          <w:kern w:val="0"/>
          <w:sz w:val="32"/>
          <w:szCs w:val="32"/>
          <w:u w:val="none" w:color="auto"/>
        </w:rPr>
        <w:t>149.69</w:t>
      </w:r>
      <w:r>
        <w:rPr>
          <w:rFonts w:hint="default" w:ascii="Times New Roman" w:hAnsi="Times New Roman" w:eastAsia="kai_ti_gb2312" w:cs="Times New Roman"/>
          <w:b/>
          <w:bCs/>
          <w:color w:val="000000"/>
          <w:kern w:val="0"/>
          <w:sz w:val="32"/>
          <w:szCs w:val="32"/>
          <w:u w:val="none" w:color="auto"/>
        </w:rPr>
        <w:t>万元。包括：</w:t>
      </w:r>
    </w:p>
    <w:p w14:paraId="3A19DD1E">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1.本年收入决算合计</w:t>
      </w:r>
      <w:r>
        <w:rPr>
          <w:rFonts w:hint="default" w:ascii="Times New Roman" w:hAnsi="Times New Roman" w:eastAsia="times_new_roman" w:cs="Times New Roman"/>
          <w:color w:val="000000"/>
          <w:kern w:val="0"/>
          <w:sz w:val="32"/>
          <w:szCs w:val="32"/>
          <w:u w:val="none" w:color="auto"/>
        </w:rPr>
        <w:t>5</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005.33</w:t>
      </w:r>
      <w:r>
        <w:rPr>
          <w:rFonts w:hint="default" w:ascii="Times New Roman" w:hAnsi="Times New Roman" w:eastAsia="仿宋_GB2312" w:cs="Times New Roman"/>
          <w:color w:val="000000"/>
          <w:kern w:val="0"/>
          <w:sz w:val="32"/>
          <w:szCs w:val="32"/>
          <w:u w:val="none" w:color="auto"/>
        </w:rPr>
        <w:t>万元。与上年决算相比，增加</w:t>
      </w:r>
      <w:r>
        <w:rPr>
          <w:rFonts w:hint="default" w:ascii="Times New Roman" w:hAnsi="Times New Roman" w:eastAsia="times_new_roman" w:cs="Times New Roman"/>
          <w:color w:val="000000"/>
          <w:kern w:val="0"/>
          <w:sz w:val="32"/>
          <w:szCs w:val="32"/>
          <w:u w:val="none" w:color="auto"/>
        </w:rPr>
        <w:t>740.65</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_new_roman" w:cs="Times New Roman"/>
          <w:color w:val="000000"/>
          <w:kern w:val="0"/>
          <w:sz w:val="32"/>
          <w:szCs w:val="32"/>
          <w:u w:val="none" w:color="auto"/>
        </w:rPr>
        <w:t>17.37</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highlight w:val="none"/>
          <w:u w:val="none" w:color="auto"/>
        </w:rPr>
        <w:t>变动原因：本年度</w:t>
      </w:r>
      <w:r>
        <w:rPr>
          <w:rFonts w:hint="default" w:ascii="Times New Roman" w:hAnsi="Times New Roman" w:eastAsia="仿宋_GB2312" w:cs="Times New Roman"/>
          <w:color w:val="000000"/>
          <w:kern w:val="0"/>
          <w:sz w:val="32"/>
          <w:szCs w:val="32"/>
          <w:highlight w:val="none"/>
          <w:u w:val="none" w:color="auto"/>
          <w:lang w:val="en-US" w:eastAsia="zh-CN"/>
        </w:rPr>
        <w:t>安排</w:t>
      </w:r>
      <w:r>
        <w:rPr>
          <w:rFonts w:hint="default" w:ascii="Times New Roman" w:hAnsi="Times New Roman" w:eastAsia="仿宋_GB2312" w:cs="Times New Roman"/>
          <w:color w:val="000000"/>
          <w:kern w:val="0"/>
          <w:sz w:val="32"/>
          <w:szCs w:val="32"/>
          <w:highlight w:val="none"/>
          <w:u w:val="none" w:color="auto"/>
        </w:rPr>
        <w:t>鄂尔多斯市慢病健康监测管理云平台、鄂尔多斯市检验检查互认平台、鄂尔多斯市互联网医院综合服务管理平台三项信息化建设项目的验收款，</w:t>
      </w:r>
      <w:r>
        <w:rPr>
          <w:rFonts w:hint="default" w:ascii="Times New Roman" w:hAnsi="Times New Roman" w:eastAsia="仿宋_GB2312" w:cs="Times New Roman"/>
          <w:color w:val="000000"/>
          <w:kern w:val="0"/>
          <w:sz w:val="32"/>
          <w:szCs w:val="32"/>
          <w:highlight w:val="none"/>
          <w:u w:val="none" w:color="auto"/>
          <w:lang w:val="en-US" w:eastAsia="zh-CN"/>
        </w:rPr>
        <w:t>财政拨款</w:t>
      </w:r>
      <w:r>
        <w:rPr>
          <w:rFonts w:hint="default" w:ascii="Times New Roman" w:hAnsi="Times New Roman" w:eastAsia="仿宋_GB2312" w:cs="Times New Roman"/>
          <w:color w:val="000000"/>
          <w:kern w:val="0"/>
          <w:sz w:val="32"/>
          <w:szCs w:val="32"/>
          <w:highlight w:val="none"/>
          <w:u w:val="none" w:color="auto"/>
        </w:rPr>
        <w:t>较上年度有所增加。</w:t>
      </w:r>
    </w:p>
    <w:p w14:paraId="63FFD869">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2.使用非财政拨款结余（含专用结余）</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万元。与上年决算相比，增加</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%，变动原因：</w:t>
      </w:r>
      <w:r>
        <w:rPr>
          <w:rFonts w:hint="default" w:ascii="Times New Roman" w:hAnsi="Times New Roman" w:eastAsia="仿宋_GB2312" w:cs="Times New Roman"/>
          <w:color w:val="000000"/>
          <w:kern w:val="0"/>
          <w:sz w:val="32"/>
          <w:szCs w:val="32"/>
          <w:u w:val="none" w:color="auto"/>
          <w:lang w:val="en-US" w:eastAsia="zh-CN"/>
        </w:rPr>
        <w:t>本单位无</w:t>
      </w:r>
      <w:r>
        <w:rPr>
          <w:rFonts w:hint="default" w:ascii="Times New Roman" w:hAnsi="Times New Roman" w:eastAsia="仿宋_GB2312" w:cs="Times New Roman"/>
          <w:color w:val="000000"/>
          <w:kern w:val="0"/>
          <w:sz w:val="32"/>
          <w:szCs w:val="32"/>
          <w:u w:val="none" w:color="auto"/>
        </w:rPr>
        <w:t>使用非财政拨款结余（含专用结余）。</w:t>
      </w:r>
    </w:p>
    <w:p w14:paraId="6E8DE70A">
      <w:pPr>
        <w:widowControl/>
        <w:spacing w:before="240" w:after="240"/>
        <w:rPr>
          <w:rFonts w:hint="default" w:ascii="Times New Roman" w:hAnsi="Times New Roman" w:eastAsia="Times New Roman" w:cs="Times New Roman"/>
          <w:kern w:val="0"/>
          <w:sz w:val="32"/>
          <w:szCs w:val="32"/>
          <w:highlight w:val="none"/>
          <w:u w:val="none" w:color="auto"/>
        </w:rPr>
      </w:pPr>
      <w:r>
        <w:rPr>
          <w:rFonts w:hint="default" w:ascii="Times New Roman" w:hAnsi="Times New Roman" w:eastAsia="仿宋_GB2312" w:cs="Times New Roman"/>
          <w:color w:val="000000"/>
          <w:kern w:val="0"/>
          <w:sz w:val="32"/>
          <w:szCs w:val="32"/>
          <w:u w:val="none" w:color="auto"/>
        </w:rPr>
        <w:t>    3.年初结转和结余</w:t>
      </w:r>
      <w:r>
        <w:rPr>
          <w:rFonts w:hint="default" w:ascii="Times New Roman" w:hAnsi="Times New Roman" w:eastAsia="times_new_roman" w:cs="Times New Roman"/>
          <w:color w:val="000000"/>
          <w:kern w:val="0"/>
          <w:sz w:val="32"/>
          <w:szCs w:val="32"/>
          <w:u w:val="none" w:color="auto"/>
        </w:rPr>
        <w:t>144.35</w:t>
      </w:r>
      <w:r>
        <w:rPr>
          <w:rFonts w:hint="default" w:ascii="Times New Roman" w:hAnsi="Times New Roman" w:eastAsia="仿宋_GB2312" w:cs="Times New Roman"/>
          <w:color w:val="000000"/>
          <w:kern w:val="0"/>
          <w:sz w:val="32"/>
          <w:szCs w:val="32"/>
          <w:u w:val="none" w:color="auto"/>
        </w:rPr>
        <w:t>万元。与上年决算相比，减少</w:t>
      </w:r>
      <w:r>
        <w:rPr>
          <w:rFonts w:hint="default" w:ascii="Times New Roman" w:hAnsi="Times New Roman" w:eastAsia="times_new_roman" w:cs="Times New Roman"/>
          <w:color w:val="000000"/>
          <w:kern w:val="0"/>
          <w:sz w:val="32"/>
          <w:szCs w:val="32"/>
          <w:u w:val="none" w:color="auto"/>
        </w:rPr>
        <w:t>164.99</w:t>
      </w:r>
      <w:r>
        <w:rPr>
          <w:rFonts w:hint="default" w:ascii="Times New Roman" w:hAnsi="Times New Roman" w:eastAsia="仿宋_GB2312" w:cs="Times New Roman"/>
          <w:color w:val="000000"/>
          <w:kern w:val="0"/>
          <w:sz w:val="32"/>
          <w:szCs w:val="32"/>
          <w:u w:val="none" w:color="auto"/>
        </w:rPr>
        <w:t>万元，下降</w:t>
      </w:r>
      <w:r>
        <w:rPr>
          <w:rFonts w:hint="default" w:ascii="Times New Roman" w:hAnsi="Times New Roman" w:eastAsia="times_new_roman" w:cs="Times New Roman"/>
          <w:color w:val="000000"/>
          <w:kern w:val="0"/>
          <w:sz w:val="32"/>
          <w:szCs w:val="32"/>
          <w:u w:val="none" w:color="auto"/>
        </w:rPr>
        <w:t>53.34</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highlight w:val="none"/>
          <w:u w:val="none" w:color="auto"/>
        </w:rPr>
        <w:t>，变动原因：</w:t>
      </w:r>
      <w:r>
        <w:rPr>
          <w:rFonts w:hint="default" w:ascii="Times New Roman" w:hAnsi="Times New Roman" w:eastAsia="仿宋_GB2312" w:cs="Times New Roman"/>
          <w:color w:val="000000"/>
          <w:kern w:val="0"/>
          <w:sz w:val="32"/>
          <w:szCs w:val="32"/>
          <w:highlight w:val="none"/>
          <w:u w:val="none" w:color="auto"/>
          <w:lang w:val="en-US" w:eastAsia="zh-CN"/>
        </w:rPr>
        <w:t>上年度支出2020年中央支持应急体系建设资金（盘活存量）134.77万元和光彩事业基金会疫情防控捐款30万元，本年度年初结转相应减少</w:t>
      </w:r>
      <w:r>
        <w:rPr>
          <w:rFonts w:hint="default" w:ascii="Times New Roman" w:hAnsi="Times New Roman" w:eastAsia="仿宋_GB2312" w:cs="Times New Roman"/>
          <w:color w:val="000000"/>
          <w:kern w:val="0"/>
          <w:sz w:val="32"/>
          <w:szCs w:val="32"/>
          <w:highlight w:val="none"/>
          <w:u w:val="none" w:color="auto"/>
        </w:rPr>
        <w:t>。</w:t>
      </w:r>
    </w:p>
    <w:p w14:paraId="4BEE2EF8">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color w:val="000000"/>
          <w:kern w:val="0"/>
          <w:sz w:val="32"/>
          <w:szCs w:val="32"/>
          <w:u w:val="none" w:color="auto"/>
        </w:rPr>
        <w:t>    （二）支出决算总计</w:t>
      </w:r>
      <w:r>
        <w:rPr>
          <w:rFonts w:hint="default" w:ascii="Times New Roman" w:hAnsi="Times New Roman" w:eastAsia="times_new_roman" w:cs="Times New Roman"/>
          <w:b/>
          <w:bCs/>
          <w:color w:val="000000"/>
          <w:kern w:val="0"/>
          <w:sz w:val="32"/>
          <w:szCs w:val="32"/>
          <w:u w:val="none" w:color="auto"/>
        </w:rPr>
        <w:t>5149.69</w:t>
      </w:r>
      <w:r>
        <w:rPr>
          <w:rFonts w:hint="default" w:ascii="Times New Roman" w:hAnsi="Times New Roman" w:eastAsia="kai_ti_gb2312" w:cs="Times New Roman"/>
          <w:b/>
          <w:bCs/>
          <w:color w:val="000000"/>
          <w:kern w:val="0"/>
          <w:sz w:val="32"/>
          <w:szCs w:val="32"/>
          <w:u w:val="none" w:color="auto"/>
        </w:rPr>
        <w:t>万元。包括：</w:t>
      </w:r>
    </w:p>
    <w:p w14:paraId="301EC7EE">
      <w:pPr>
        <w:widowControl/>
        <w:spacing w:before="240" w:after="240"/>
        <w:rPr>
          <w:rFonts w:hint="default" w:ascii="Times New Roman" w:hAnsi="Times New Roman" w:eastAsia="Times New Roman" w:cs="Times New Roman"/>
          <w:kern w:val="0"/>
          <w:sz w:val="32"/>
          <w:szCs w:val="32"/>
          <w:highlight w:val="yellow"/>
          <w:u w:val="none" w:color="auto"/>
        </w:rPr>
      </w:pPr>
      <w:r>
        <w:rPr>
          <w:rFonts w:hint="default" w:ascii="Times New Roman" w:hAnsi="Times New Roman" w:eastAsia="仿宋_GB2312" w:cs="Times New Roman"/>
          <w:color w:val="000000"/>
          <w:kern w:val="0"/>
          <w:sz w:val="32"/>
          <w:szCs w:val="32"/>
          <w:u w:val="none" w:color="auto"/>
        </w:rPr>
        <w:t>    1.本年支出决算合计</w:t>
      </w:r>
      <w:r>
        <w:rPr>
          <w:rFonts w:hint="default" w:ascii="Times New Roman" w:hAnsi="Times New Roman" w:eastAsia="times_new_roman" w:cs="Times New Roman"/>
          <w:color w:val="000000"/>
          <w:kern w:val="0"/>
          <w:sz w:val="32"/>
          <w:szCs w:val="32"/>
          <w:u w:val="none" w:color="auto"/>
        </w:rPr>
        <w:t>5</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008.03</w:t>
      </w:r>
      <w:r>
        <w:rPr>
          <w:rFonts w:hint="default" w:ascii="Times New Roman" w:hAnsi="Times New Roman" w:eastAsia="仿宋_GB2312" w:cs="Times New Roman"/>
          <w:color w:val="000000"/>
          <w:kern w:val="0"/>
          <w:sz w:val="32"/>
          <w:szCs w:val="32"/>
          <w:u w:val="none" w:color="auto"/>
        </w:rPr>
        <w:t>万元。与上年决算相比，增加</w:t>
      </w:r>
      <w:r>
        <w:rPr>
          <w:rFonts w:hint="default" w:ascii="Times New Roman" w:hAnsi="Times New Roman" w:eastAsia="times_new_roman" w:cs="Times New Roman"/>
          <w:color w:val="000000"/>
          <w:kern w:val="0"/>
          <w:sz w:val="32"/>
          <w:szCs w:val="32"/>
          <w:u w:val="none" w:color="auto"/>
        </w:rPr>
        <w:t>578.35</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_new_roman" w:cs="Times New Roman"/>
          <w:color w:val="000000"/>
          <w:kern w:val="0"/>
          <w:sz w:val="32"/>
          <w:szCs w:val="32"/>
          <w:u w:val="none" w:color="auto"/>
        </w:rPr>
        <w:t>13.06</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highlight w:val="none"/>
          <w:u w:val="none" w:color="auto"/>
        </w:rPr>
        <w:t>变动原因：本年度支出鄂尔多斯市慢病健康监测管理云平台、鄂尔多斯市检验检查互认平台、鄂尔多斯市互联网医院综合服务管理平台三项信息化建设项目的验收款，收支较上年度有所增加。</w:t>
      </w:r>
    </w:p>
    <w:p w14:paraId="3C5B0A18">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2.结余分配</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万元。结余分配事项：</w:t>
      </w:r>
      <w:r>
        <w:rPr>
          <w:rFonts w:hint="default" w:ascii="Times New Roman" w:hAnsi="Times New Roman" w:eastAsia="仿宋_GB2312" w:cs="Times New Roman"/>
          <w:color w:val="000000"/>
          <w:kern w:val="0"/>
          <w:sz w:val="32"/>
          <w:szCs w:val="32"/>
          <w:u w:val="none" w:color="auto"/>
          <w:lang w:val="en-US" w:eastAsia="zh-CN"/>
        </w:rPr>
        <w:t>不存在此项内容</w:t>
      </w:r>
      <w:r>
        <w:rPr>
          <w:rFonts w:hint="default" w:ascii="Times New Roman" w:hAnsi="Times New Roman" w:eastAsia="仿宋_GB2312" w:cs="Times New Roman"/>
          <w:color w:val="000000"/>
          <w:kern w:val="0"/>
          <w:sz w:val="32"/>
          <w:szCs w:val="32"/>
          <w:u w:val="none" w:color="auto"/>
        </w:rPr>
        <w:t>。与上年决算相比，增加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%，变动原因：</w:t>
      </w:r>
      <w:r>
        <w:rPr>
          <w:rFonts w:hint="default" w:ascii="Times New Roman" w:hAnsi="Times New Roman" w:eastAsia="仿宋_GB2312" w:cs="Times New Roman"/>
          <w:color w:val="000000"/>
          <w:kern w:val="0"/>
          <w:sz w:val="32"/>
          <w:szCs w:val="32"/>
          <w:u w:val="none" w:color="auto"/>
          <w:lang w:val="en-US" w:eastAsia="zh-CN"/>
        </w:rPr>
        <w:t>本单位无结余分配</w:t>
      </w:r>
      <w:r>
        <w:rPr>
          <w:rFonts w:hint="default" w:ascii="Times New Roman" w:hAnsi="Times New Roman" w:eastAsia="仿宋_GB2312" w:cs="Times New Roman"/>
          <w:color w:val="000000"/>
          <w:kern w:val="0"/>
          <w:sz w:val="32"/>
          <w:szCs w:val="32"/>
          <w:u w:val="none" w:color="auto"/>
        </w:rPr>
        <w:t>。</w:t>
      </w:r>
    </w:p>
    <w:p w14:paraId="2F288B02">
      <w:pPr>
        <w:widowControl/>
        <w:spacing w:before="240" w:after="240"/>
        <w:rPr>
          <w:rFonts w:hint="default" w:ascii="Times New Roman" w:hAnsi="Times New Roman" w:eastAsia="Times New Roman" w:cs="Times New Roman"/>
          <w:kern w:val="0"/>
          <w:sz w:val="32"/>
          <w:szCs w:val="32"/>
          <w:highlight w:val="none"/>
          <w:u w:val="none" w:color="auto"/>
        </w:rPr>
      </w:pPr>
      <w:r>
        <w:rPr>
          <w:rFonts w:hint="default" w:ascii="Times New Roman" w:hAnsi="Times New Roman" w:eastAsia="仿宋_GB2312" w:cs="Times New Roman"/>
          <w:color w:val="000000"/>
          <w:kern w:val="0"/>
          <w:sz w:val="32"/>
          <w:szCs w:val="32"/>
          <w:u w:val="none" w:color="auto"/>
        </w:rPr>
        <w:t>    3.年末结转和结余</w:t>
      </w:r>
      <w:r>
        <w:rPr>
          <w:rFonts w:hint="default" w:ascii="Times New Roman" w:hAnsi="Times New Roman" w:eastAsia="times_new_roman" w:cs="Times New Roman"/>
          <w:color w:val="000000"/>
          <w:kern w:val="0"/>
          <w:sz w:val="32"/>
          <w:szCs w:val="32"/>
          <w:u w:val="none" w:color="auto"/>
        </w:rPr>
        <w:t>141.66</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highlight w:val="none"/>
          <w:u w:val="none" w:color="auto"/>
        </w:rPr>
        <w:t>结转和结余事项：非财政拨款结转资金</w:t>
      </w:r>
      <w:r>
        <w:rPr>
          <w:rFonts w:hint="default" w:ascii="Times New Roman" w:hAnsi="Times New Roman" w:eastAsia="仿宋_GB2312" w:cs="Times New Roman"/>
          <w:color w:val="000000"/>
          <w:kern w:val="0"/>
          <w:sz w:val="32"/>
          <w:szCs w:val="32"/>
          <w:highlight w:val="none"/>
          <w:u w:val="none" w:color="auto"/>
          <w:lang w:val="en-US" w:eastAsia="zh-CN"/>
        </w:rPr>
        <w:t>141.66万元</w:t>
      </w:r>
      <w:r>
        <w:rPr>
          <w:rFonts w:hint="default" w:ascii="Times New Roman" w:hAnsi="Times New Roman" w:eastAsia="仿宋_GB2312" w:cs="Times New Roman"/>
          <w:color w:val="000000"/>
          <w:kern w:val="0"/>
          <w:sz w:val="32"/>
          <w:szCs w:val="32"/>
          <w:highlight w:val="none"/>
          <w:u w:val="none" w:color="auto"/>
        </w:rPr>
        <w:t>。与上年决算相比，减少</w:t>
      </w:r>
      <w:r>
        <w:rPr>
          <w:rFonts w:hint="default" w:ascii="Times New Roman" w:hAnsi="Times New Roman" w:eastAsia="times_new_roman" w:cs="Times New Roman"/>
          <w:color w:val="000000"/>
          <w:kern w:val="0"/>
          <w:sz w:val="32"/>
          <w:szCs w:val="32"/>
          <w:highlight w:val="none"/>
          <w:u w:val="none" w:color="auto"/>
        </w:rPr>
        <w:t>2.69</w:t>
      </w:r>
      <w:r>
        <w:rPr>
          <w:rFonts w:hint="default" w:ascii="Times New Roman" w:hAnsi="Times New Roman" w:eastAsia="仿宋_GB2312" w:cs="Times New Roman"/>
          <w:color w:val="000000"/>
          <w:kern w:val="0"/>
          <w:sz w:val="32"/>
          <w:szCs w:val="32"/>
          <w:highlight w:val="none"/>
          <w:u w:val="none" w:color="auto"/>
        </w:rPr>
        <w:t>万元，下降</w:t>
      </w:r>
      <w:r>
        <w:rPr>
          <w:rFonts w:hint="default" w:ascii="Times New Roman" w:hAnsi="Times New Roman" w:eastAsia="times_new_roman" w:cs="Times New Roman"/>
          <w:color w:val="000000"/>
          <w:kern w:val="0"/>
          <w:sz w:val="32"/>
          <w:szCs w:val="32"/>
          <w:highlight w:val="none"/>
          <w:u w:val="none" w:color="auto"/>
        </w:rPr>
        <w:t>1.86</w:t>
      </w:r>
      <w:r>
        <w:rPr>
          <w:rFonts w:hint="default" w:ascii="Times New Roman" w:hAnsi="Times New Roman" w:eastAsia="仿宋_GB2312" w:cs="Times New Roman"/>
          <w:color w:val="000000"/>
          <w:kern w:val="0"/>
          <w:sz w:val="32"/>
          <w:szCs w:val="32"/>
          <w:highlight w:val="none"/>
          <w:u w:val="none" w:color="auto"/>
        </w:rPr>
        <w:t>%，变动原因：</w:t>
      </w:r>
      <w:r>
        <w:rPr>
          <w:rFonts w:hint="default" w:ascii="Times New Roman" w:hAnsi="Times New Roman" w:eastAsia="仿宋_GB2312" w:cs="Times New Roman"/>
          <w:color w:val="000000"/>
          <w:kern w:val="0"/>
          <w:sz w:val="32"/>
          <w:szCs w:val="32"/>
          <w:highlight w:val="none"/>
          <w:u w:val="none" w:color="auto"/>
          <w:lang w:val="en-US" w:eastAsia="zh-CN"/>
        </w:rPr>
        <w:t>本年度支出结余资金2.69万元</w:t>
      </w:r>
      <w:r>
        <w:rPr>
          <w:rFonts w:hint="default" w:ascii="Times New Roman" w:hAnsi="Times New Roman" w:eastAsia="仿宋_GB2312" w:cs="Times New Roman"/>
          <w:color w:val="000000"/>
          <w:kern w:val="0"/>
          <w:sz w:val="32"/>
          <w:szCs w:val="32"/>
          <w:highlight w:val="none"/>
          <w:u w:val="none" w:color="auto"/>
        </w:rPr>
        <w:t>。</w:t>
      </w:r>
    </w:p>
    <w:p w14:paraId="718FCBD9">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二、收入决算情况说明</w:t>
      </w:r>
    </w:p>
    <w:p w14:paraId="742A3787">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年度本年收入决算合计</w:t>
      </w:r>
      <w:r>
        <w:rPr>
          <w:rFonts w:hint="default" w:ascii="Times New Roman" w:hAnsi="Times New Roman" w:eastAsia="times_new_roman" w:cs="Times New Roman"/>
          <w:color w:val="000000"/>
          <w:kern w:val="0"/>
          <w:sz w:val="32"/>
          <w:szCs w:val="32"/>
          <w:u w:val="none" w:color="auto"/>
        </w:rPr>
        <w:t>5</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005.33</w:t>
      </w:r>
      <w:r>
        <w:rPr>
          <w:rFonts w:hint="default" w:ascii="Times New Roman" w:hAnsi="Times New Roman" w:eastAsia="仿宋_GB2312" w:cs="Times New Roman"/>
          <w:color w:val="000000"/>
          <w:kern w:val="0"/>
          <w:sz w:val="32"/>
          <w:szCs w:val="32"/>
          <w:u w:val="none" w:color="auto"/>
        </w:rPr>
        <w:t>万元，其中：</w:t>
      </w:r>
    </w:p>
    <w:p w14:paraId="0F0C06B4">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本年一般公共预算财政拨款收入</w:t>
      </w:r>
      <w:r>
        <w:rPr>
          <w:rFonts w:hint="default" w:ascii="Times New Roman" w:hAnsi="Times New Roman" w:eastAsia="times_new_roman" w:cs="Times New Roman"/>
          <w:color w:val="000000"/>
          <w:kern w:val="0"/>
          <w:sz w:val="32"/>
          <w:szCs w:val="32"/>
          <w:u w:val="none" w:color="auto"/>
        </w:rPr>
        <w:t>4</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995.60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99.81</w:t>
      </w:r>
      <w:r>
        <w:rPr>
          <w:rFonts w:hint="default" w:ascii="Times New Roman" w:hAnsi="Times New Roman" w:eastAsia="仿宋_GB2312" w:cs="Times New Roman"/>
          <w:color w:val="000000"/>
          <w:kern w:val="0"/>
          <w:sz w:val="32"/>
          <w:szCs w:val="32"/>
          <w:u w:val="none" w:color="auto"/>
        </w:rPr>
        <w:t>%；</w:t>
      </w:r>
    </w:p>
    <w:p w14:paraId="40F9FF57">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本年政府性基金预算财政拨款收入</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3D9B1B03">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本年国有资本经营预算财政拨款收入</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2D169278">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本年上级补助收入</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28F205AC">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本年事业收入</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718E0678">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本年经营收入</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661CFBC1">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本年附属单位上缴收入</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0184B92E">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本年其他收入</w:t>
      </w:r>
      <w:r>
        <w:rPr>
          <w:rFonts w:hint="default" w:ascii="Times New Roman" w:hAnsi="Times New Roman" w:eastAsia="times_new_roman" w:cs="Times New Roman"/>
          <w:color w:val="000000"/>
          <w:kern w:val="0"/>
          <w:sz w:val="32"/>
          <w:szCs w:val="32"/>
          <w:u w:val="none" w:color="auto"/>
        </w:rPr>
        <w:t>9.74</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0.19</w:t>
      </w:r>
      <w:r>
        <w:rPr>
          <w:rFonts w:hint="default" w:ascii="Times New Roman" w:hAnsi="Times New Roman" w:eastAsia="仿宋_GB2312" w:cs="Times New Roman"/>
          <w:color w:val="000000"/>
          <w:kern w:val="0"/>
          <w:sz w:val="32"/>
          <w:szCs w:val="32"/>
          <w:u w:val="none" w:color="auto"/>
        </w:rPr>
        <w:t>%。</w:t>
      </w:r>
    </w:p>
    <w:p w14:paraId="0434849C">
      <w:pPr>
        <w:widowControl/>
        <w:spacing w:before="240" w:after="240"/>
        <w:rPr>
          <w:rFonts w:hint="default" w:ascii="Times New Roman" w:hAnsi="Times New Roman" w:eastAsia="Times New Roman" w:cs="Times New Roman"/>
          <w:kern w:val="0"/>
          <w:sz w:val="24"/>
          <w:u w:val="none" w:color="auto"/>
        </w:rPr>
      </w:pPr>
    </w:p>
    <w:p w14:paraId="031CD0D1">
      <w:pPr>
        <w:widowControl/>
        <w:spacing w:before="240" w:after="240"/>
        <w:jc w:val="center"/>
        <w:rPr>
          <w:rFonts w:hint="default" w:ascii="Times New Roman" w:hAnsi="Times New Roman" w:eastAsia="Times New Roman" w:cs="Times New Roman"/>
          <w:kern w:val="0"/>
          <w:sz w:val="24"/>
          <w:u w:val="none" w:color="auto"/>
        </w:rPr>
      </w:pPr>
      <w:r>
        <w:rPr>
          <w:rFonts w:hint="default" w:ascii="Times New Roman" w:hAnsi="Times New Roman" w:eastAsia="Times New Roman" w:cs="Times New Roman"/>
          <w:strike w:val="0"/>
          <w:kern w:val="0"/>
          <w:sz w:val="24"/>
          <w:u w:val="none" w:color="auto"/>
        </w:rPr>
        <w:pict>
          <v:shape id="_x0000_i1025" o:spt="75" type="#_x0000_t75" style="height:306.15pt;width:489.95pt;" fillcolor="#FFC000" filled="t" o:preferrelative="t" stroked="f" coordsize="21600,21600">
            <v:path/>
            <v:fill on="t" focussize="0,0"/>
            <v:stroke on="f"/>
            <v:imagedata r:id="rId6" o:title=""/>
            <o:lock v:ext="edit" aspectratio="t"/>
            <w10:wrap type="none"/>
            <w10:anchorlock/>
          </v:shape>
        </w:pict>
      </w:r>
      <w:r>
        <w:rPr>
          <w:rFonts w:hint="default" w:ascii="Times New Roman" w:hAnsi="Times New Roman" w:eastAsia="Times New Roman" w:cs="Times New Roman"/>
          <w:kern w:val="0"/>
          <w:sz w:val="24"/>
          <w:u w:val="none" w:color="auto"/>
        </w:rPr>
        <w:t xml:space="preserve">  </w:t>
      </w:r>
    </w:p>
    <w:p w14:paraId="10A48246">
      <w:pPr>
        <w:widowControl/>
        <w:spacing w:before="240" w:after="240"/>
        <w:jc w:val="center"/>
        <w:rPr>
          <w:rFonts w:hint="default" w:ascii="Times New Roman" w:hAnsi="Times New Roman" w:eastAsia="Times New Roman" w:cs="Times New Roman"/>
          <w:kern w:val="0"/>
          <w:sz w:val="24"/>
          <w:u w:val="none" w:color="auto"/>
        </w:rPr>
      </w:pPr>
      <w:r>
        <w:rPr>
          <w:rFonts w:hint="default" w:ascii="Times New Roman" w:hAnsi="Times New Roman" w:eastAsia="仿宋_GB2312" w:cs="Times New Roman"/>
          <w:kern w:val="0"/>
          <w:sz w:val="27"/>
          <w:szCs w:val="27"/>
          <w:u w:val="none" w:color="auto"/>
        </w:rPr>
        <w:t>图</w:t>
      </w:r>
      <w:r>
        <w:rPr>
          <w:rFonts w:hint="default" w:ascii="Times New Roman" w:hAnsi="Times New Roman" w:eastAsia="times_new_roman" w:cs="Times New Roman"/>
          <w:kern w:val="0"/>
          <w:sz w:val="27"/>
          <w:szCs w:val="27"/>
          <w:u w:val="none" w:color="auto"/>
        </w:rPr>
        <w:t>1</w:t>
      </w:r>
      <w:r>
        <w:rPr>
          <w:rFonts w:hint="default" w:ascii="Times New Roman" w:hAnsi="Times New Roman" w:eastAsia="仿宋_GB2312" w:cs="Times New Roman"/>
          <w:kern w:val="0"/>
          <w:sz w:val="27"/>
          <w:szCs w:val="27"/>
          <w:u w:val="none" w:color="auto"/>
        </w:rPr>
        <w:t>.收入决算图</w:t>
      </w:r>
    </w:p>
    <w:p w14:paraId="26E6B1DE">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三、支出决算情况说明</w:t>
      </w:r>
    </w:p>
    <w:p w14:paraId="4F71F71F">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仿宋_GB2312" w:cs="Times New Roman"/>
          <w:color w:val="000000"/>
          <w:kern w:val="0"/>
          <w:sz w:val="32"/>
          <w:szCs w:val="32"/>
          <w:u w:val="none" w:color="auto"/>
        </w:rPr>
        <w:t>2024年度本年支出决算合计</w:t>
      </w:r>
      <w:r>
        <w:rPr>
          <w:rFonts w:hint="default" w:ascii="Times New Roman" w:hAnsi="Times New Roman" w:eastAsia="times_new_roman" w:cs="Times New Roman"/>
          <w:color w:val="000000"/>
          <w:kern w:val="0"/>
          <w:sz w:val="32"/>
          <w:szCs w:val="32"/>
          <w:u w:val="none" w:color="auto"/>
        </w:rPr>
        <w:t>5</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008.03</w:t>
      </w:r>
      <w:r>
        <w:rPr>
          <w:rFonts w:hint="default" w:ascii="Times New Roman" w:hAnsi="Times New Roman" w:eastAsia="仿宋_GB2312" w:cs="Times New Roman"/>
          <w:color w:val="000000"/>
          <w:kern w:val="0"/>
          <w:sz w:val="32"/>
          <w:szCs w:val="32"/>
          <w:u w:val="none" w:color="auto"/>
        </w:rPr>
        <w:t>万元，其中：</w:t>
      </w:r>
    </w:p>
    <w:p w14:paraId="2B45F172">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本年基本支出</w:t>
      </w:r>
      <w:r>
        <w:rPr>
          <w:rFonts w:hint="default" w:ascii="Times New Roman" w:hAnsi="Times New Roman" w:eastAsia="times_new_roman" w:cs="Times New Roman"/>
          <w:color w:val="000000"/>
          <w:kern w:val="0"/>
          <w:sz w:val="32"/>
          <w:szCs w:val="32"/>
          <w:u w:val="none" w:color="auto"/>
        </w:rPr>
        <w:t>1</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673.48</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33.42</w:t>
      </w:r>
      <w:r>
        <w:rPr>
          <w:rFonts w:hint="default" w:ascii="Times New Roman" w:hAnsi="Times New Roman" w:eastAsia="仿宋_GB2312" w:cs="Times New Roman"/>
          <w:color w:val="000000"/>
          <w:kern w:val="0"/>
          <w:sz w:val="32"/>
          <w:szCs w:val="32"/>
          <w:u w:val="none" w:color="auto"/>
        </w:rPr>
        <w:t>%；</w:t>
      </w:r>
    </w:p>
    <w:p w14:paraId="7D0B1888">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本年项目支出</w:t>
      </w:r>
      <w:r>
        <w:rPr>
          <w:rFonts w:hint="default" w:ascii="Times New Roman" w:hAnsi="Times New Roman" w:eastAsia="times_new_roman" w:cs="Times New Roman"/>
          <w:color w:val="000000"/>
          <w:kern w:val="0"/>
          <w:sz w:val="32"/>
          <w:szCs w:val="32"/>
          <w:u w:val="none" w:color="auto"/>
        </w:rPr>
        <w:t>3</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334.54</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66.58</w:t>
      </w:r>
      <w:r>
        <w:rPr>
          <w:rFonts w:hint="default" w:ascii="Times New Roman" w:hAnsi="Times New Roman" w:eastAsia="仿宋_GB2312" w:cs="Times New Roman"/>
          <w:color w:val="000000"/>
          <w:kern w:val="0"/>
          <w:sz w:val="32"/>
          <w:szCs w:val="32"/>
          <w:u w:val="none" w:color="auto"/>
        </w:rPr>
        <w:t>%；</w:t>
      </w:r>
    </w:p>
    <w:p w14:paraId="7BF42E2E">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本年上缴上级支出</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1D67F201">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本年经营支出</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6EDF636E">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本年对附属单位补助支出</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w:t>
      </w:r>
    </w:p>
    <w:p w14:paraId="3EE6AF52">
      <w:pPr>
        <w:widowControl/>
        <w:spacing w:before="240" w:after="240"/>
        <w:rPr>
          <w:rFonts w:hint="default" w:ascii="Times New Roman" w:hAnsi="Times New Roman" w:eastAsia="Times New Roman" w:cs="Times New Roman"/>
          <w:kern w:val="0"/>
          <w:sz w:val="24"/>
          <w:u w:val="none" w:color="auto"/>
        </w:rPr>
      </w:pPr>
      <w:r>
        <w:rPr>
          <w:rFonts w:hint="default" w:ascii="Times New Roman" w:hAnsi="Times New Roman" w:eastAsia="仿宋_GB2312" w:cs="Times New Roman"/>
          <w:color w:val="0E00FE"/>
          <w:kern w:val="0"/>
          <w:sz w:val="27"/>
          <w:szCs w:val="27"/>
          <w:u w:val="none" w:color="auto"/>
        </w:rPr>
        <w:t> </w:t>
      </w:r>
    </w:p>
    <w:p w14:paraId="28A87174">
      <w:pPr>
        <w:widowControl/>
        <w:spacing w:before="240" w:after="240"/>
        <w:jc w:val="center"/>
        <w:rPr>
          <w:rFonts w:hint="default" w:ascii="Times New Roman" w:hAnsi="Times New Roman" w:eastAsia="Times New Roman" w:cs="Times New Roman"/>
          <w:kern w:val="0"/>
          <w:sz w:val="24"/>
          <w:u w:val="none" w:color="auto"/>
        </w:rPr>
      </w:pPr>
      <w:r>
        <w:rPr>
          <w:rFonts w:hint="default" w:ascii="Times New Roman" w:hAnsi="Times New Roman" w:eastAsia="Times New Roman" w:cs="Times New Roman"/>
          <w:strike w:val="0"/>
          <w:kern w:val="0"/>
          <w:sz w:val="24"/>
          <w:u w:val="none" w:color="auto"/>
        </w:rPr>
        <w:pict>
          <v:shape id="_x0000_i1026" o:spt="75" type="#_x0000_t75" style="height:309pt;width:494.5pt;" filled="f" o:preferrelative="t" stroked="f" coordsize="21600,21600">
            <v:path/>
            <v:fill on="f" focussize="0,0"/>
            <v:stroke on="f"/>
            <v:imagedata r:id="rId7" o:title=""/>
            <o:lock v:ext="edit" aspectratio="t"/>
            <w10:wrap type="none"/>
            <w10:anchorlock/>
          </v:shape>
        </w:pict>
      </w:r>
      <w:r>
        <w:rPr>
          <w:rFonts w:hint="default" w:ascii="Times New Roman" w:hAnsi="Times New Roman" w:eastAsia="Times New Roman" w:cs="Times New Roman"/>
          <w:kern w:val="0"/>
          <w:sz w:val="24"/>
          <w:u w:val="none" w:color="auto"/>
        </w:rPr>
        <w:t xml:space="preserve">  </w:t>
      </w:r>
    </w:p>
    <w:p w14:paraId="0D61143B">
      <w:pPr>
        <w:widowControl/>
        <w:spacing w:before="240" w:after="240"/>
        <w:jc w:val="center"/>
        <w:rPr>
          <w:rFonts w:hint="default" w:ascii="Times New Roman" w:hAnsi="Times New Roman" w:eastAsia="Times New Roman" w:cs="Times New Roman"/>
          <w:kern w:val="0"/>
          <w:sz w:val="24"/>
          <w:u w:val="none" w:color="auto"/>
        </w:rPr>
      </w:pPr>
      <w:r>
        <w:rPr>
          <w:rFonts w:hint="default" w:ascii="Times New Roman" w:hAnsi="Times New Roman" w:eastAsia="仿宋_GB2312" w:cs="Times New Roman"/>
          <w:kern w:val="0"/>
          <w:sz w:val="27"/>
          <w:szCs w:val="27"/>
          <w:u w:val="none" w:color="auto"/>
        </w:rPr>
        <w:t>图2.支出决算图</w:t>
      </w:r>
    </w:p>
    <w:p w14:paraId="2B6CF2E6">
      <w:pPr>
        <w:widowControl/>
        <w:spacing w:before="240" w:after="240"/>
        <w:jc w:val="left"/>
        <w:rPr>
          <w:rFonts w:hint="default" w:ascii="Times New Roman" w:hAnsi="Times New Roman" w:eastAsia="Times New Roman" w:cs="Times New Roman"/>
          <w:kern w:val="0"/>
          <w:sz w:val="24"/>
          <w:u w:val="none" w:color="auto"/>
        </w:rPr>
      </w:pPr>
    </w:p>
    <w:p w14:paraId="4F5FE89C">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四、财政拨款收入支出决算总体情况说明</w:t>
      </w:r>
    </w:p>
    <w:p w14:paraId="3B64A48C">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年度财政拨款收入、支出决算总计均为</w:t>
      </w:r>
      <w:r>
        <w:rPr>
          <w:rFonts w:hint="default" w:ascii="Times New Roman" w:hAnsi="Times New Roman" w:eastAsia="times_new_roman" w:cs="Times New Roman"/>
          <w:color w:val="000000"/>
          <w:kern w:val="0"/>
          <w:sz w:val="32"/>
          <w:szCs w:val="32"/>
          <w:u w:val="none" w:color="auto"/>
        </w:rPr>
        <w:t>4</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995.60</w:t>
      </w:r>
      <w:r>
        <w:rPr>
          <w:rFonts w:hint="default" w:ascii="Times New Roman" w:hAnsi="Times New Roman" w:eastAsia="仿宋_GB2312" w:cs="Times New Roman"/>
          <w:color w:val="000000"/>
          <w:kern w:val="0"/>
          <w:sz w:val="32"/>
          <w:szCs w:val="32"/>
          <w:u w:val="none" w:color="auto"/>
        </w:rPr>
        <w:t>万元，与年初预算相比，收、支总计各减少</w:t>
      </w:r>
      <w:r>
        <w:rPr>
          <w:rFonts w:hint="default" w:ascii="Times New Roman" w:hAnsi="Times New Roman" w:eastAsia="times_new_roman" w:cs="Times New Roman"/>
          <w:color w:val="000000"/>
          <w:kern w:val="0"/>
          <w:sz w:val="32"/>
          <w:szCs w:val="32"/>
          <w:u w:val="none" w:color="auto"/>
        </w:rPr>
        <w:t>6</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565.01</w:t>
      </w:r>
      <w:r>
        <w:rPr>
          <w:rFonts w:hint="default" w:ascii="Times New Roman" w:hAnsi="Times New Roman" w:eastAsia="仿宋_GB2312" w:cs="Times New Roman"/>
          <w:color w:val="000000"/>
          <w:kern w:val="0"/>
          <w:sz w:val="32"/>
          <w:szCs w:val="32"/>
          <w:u w:val="none" w:color="auto"/>
        </w:rPr>
        <w:t>万元，下降</w:t>
      </w:r>
      <w:r>
        <w:rPr>
          <w:rFonts w:hint="default" w:ascii="Times New Roman" w:hAnsi="Times New Roman" w:eastAsia="times_new_roman" w:cs="Times New Roman"/>
          <w:color w:val="000000"/>
          <w:kern w:val="0"/>
          <w:sz w:val="32"/>
          <w:szCs w:val="32"/>
          <w:u w:val="none" w:color="auto"/>
        </w:rPr>
        <w:t>56.79</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highlight w:val="none"/>
          <w:u w:val="none" w:color="auto"/>
        </w:rPr>
        <w:t>，变动原因：</w:t>
      </w:r>
      <w:r>
        <w:rPr>
          <w:rFonts w:hint="default" w:ascii="Times New Roman" w:hAnsi="Times New Roman" w:eastAsia="仿宋_GB2312" w:cs="Times New Roman"/>
          <w:color w:val="000000"/>
          <w:kern w:val="0"/>
          <w:sz w:val="32"/>
          <w:szCs w:val="32"/>
          <w:highlight w:val="none"/>
          <w:u w:val="none" w:color="auto"/>
          <w:lang w:val="en-US" w:eastAsia="zh-CN"/>
        </w:rPr>
        <w:t>本单位为行业主管部门，年初预算中包括部门代编预算，年中分配到市直所属单位执行预算</w:t>
      </w:r>
      <w:r>
        <w:rPr>
          <w:rFonts w:hint="default" w:ascii="Times New Roman" w:hAnsi="Times New Roman" w:eastAsia="仿宋_GB2312" w:cs="Times New Roman"/>
          <w:color w:val="000000"/>
          <w:kern w:val="0"/>
          <w:sz w:val="32"/>
          <w:szCs w:val="32"/>
          <w:highlight w:val="none"/>
          <w:u w:val="none" w:color="auto"/>
        </w:rPr>
        <w:t>；与上年决算相比，收、支总计各增加</w:t>
      </w:r>
      <w:r>
        <w:rPr>
          <w:rFonts w:hint="default" w:ascii="Times New Roman" w:hAnsi="Times New Roman" w:eastAsia="times_new_roman" w:cs="Times New Roman"/>
          <w:color w:val="000000"/>
          <w:kern w:val="0"/>
          <w:sz w:val="32"/>
          <w:szCs w:val="32"/>
          <w:highlight w:val="none"/>
          <w:u w:val="none" w:color="auto"/>
        </w:rPr>
        <w:t>604.41</w:t>
      </w:r>
      <w:r>
        <w:rPr>
          <w:rFonts w:hint="default" w:ascii="Times New Roman" w:hAnsi="Times New Roman" w:eastAsia="仿宋_GB2312" w:cs="Times New Roman"/>
          <w:color w:val="000000"/>
          <w:kern w:val="0"/>
          <w:sz w:val="32"/>
          <w:szCs w:val="32"/>
          <w:highlight w:val="none"/>
          <w:u w:val="none" w:color="auto"/>
        </w:rPr>
        <w:t>万元，增长</w:t>
      </w:r>
      <w:r>
        <w:rPr>
          <w:rFonts w:hint="default" w:ascii="Times New Roman" w:hAnsi="Times New Roman" w:eastAsia="times_new_roman" w:cs="Times New Roman"/>
          <w:color w:val="000000"/>
          <w:kern w:val="0"/>
          <w:sz w:val="32"/>
          <w:szCs w:val="32"/>
          <w:highlight w:val="none"/>
          <w:u w:val="none" w:color="auto"/>
        </w:rPr>
        <w:t>13.76</w:t>
      </w:r>
      <w:r>
        <w:rPr>
          <w:rFonts w:hint="default" w:ascii="Times New Roman" w:hAnsi="Times New Roman" w:eastAsia="仿宋_GB2312" w:cs="Times New Roman"/>
          <w:color w:val="000000"/>
          <w:kern w:val="0"/>
          <w:sz w:val="32"/>
          <w:szCs w:val="32"/>
          <w:highlight w:val="none"/>
          <w:u w:val="none" w:color="auto"/>
        </w:rPr>
        <w:t>%，变动原因：</w:t>
      </w:r>
      <w:r>
        <w:rPr>
          <w:rFonts w:hint="default" w:ascii="Times New Roman" w:hAnsi="Times New Roman" w:eastAsia="仿宋_GB2312" w:cs="Times New Roman"/>
          <w:color w:val="000000"/>
          <w:kern w:val="0"/>
          <w:sz w:val="32"/>
          <w:szCs w:val="32"/>
          <w:highlight w:val="none"/>
          <w:u w:val="none" w:color="auto"/>
          <w:lang w:val="en-US" w:eastAsia="zh-CN"/>
        </w:rPr>
        <w:t>本年度</w:t>
      </w:r>
      <w:r>
        <w:rPr>
          <w:rFonts w:hint="default" w:ascii="Times New Roman" w:hAnsi="Times New Roman" w:eastAsia="仿宋_GB2312" w:cs="Times New Roman"/>
          <w:color w:val="000000"/>
          <w:kern w:val="0"/>
          <w:sz w:val="32"/>
          <w:szCs w:val="32"/>
          <w:u w:val="none" w:color="auto"/>
          <w:lang w:val="en-US" w:eastAsia="zh-CN"/>
        </w:rPr>
        <w:t>支出鄂尔多斯市慢病健康监测管理云平台、鄂尔多斯市检验检查互认平台、鄂尔多斯市互联网医院综合服务管理平台三项信息化建设项目的验收款，收支较上年度有所增加。</w:t>
      </w:r>
    </w:p>
    <w:p w14:paraId="74A0744C">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五、一般公共预算财政拨款支出决算情况说明</w:t>
      </w:r>
    </w:p>
    <w:p w14:paraId="0791064F">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年度一般公共预算财政拨款支出决算</w:t>
      </w:r>
      <w:r>
        <w:rPr>
          <w:rFonts w:hint="default" w:ascii="Times New Roman" w:hAnsi="Times New Roman" w:eastAsia="times_new_roman" w:cs="Times New Roman"/>
          <w:color w:val="000000"/>
          <w:kern w:val="0"/>
          <w:sz w:val="32"/>
          <w:szCs w:val="32"/>
          <w:u w:val="none" w:color="auto"/>
        </w:rPr>
        <w:t>4</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995.60</w:t>
      </w:r>
      <w:r>
        <w:rPr>
          <w:rFonts w:hint="default" w:ascii="Times New Roman" w:hAnsi="Times New Roman" w:eastAsia="仿宋_GB2312" w:cs="Times New Roman"/>
          <w:color w:val="000000"/>
          <w:kern w:val="0"/>
          <w:sz w:val="32"/>
          <w:szCs w:val="32"/>
          <w:u w:val="none" w:color="auto"/>
        </w:rPr>
        <w:t>万元。与年初预算</w:t>
      </w:r>
      <w:r>
        <w:rPr>
          <w:rFonts w:hint="default" w:ascii="Times New Roman" w:hAnsi="Times New Roman" w:eastAsia="Times New Roman" w:cs="Times New Roman"/>
          <w:color w:val="000000"/>
          <w:kern w:val="0"/>
          <w:sz w:val="32"/>
          <w:szCs w:val="32"/>
          <w:u w:val="none" w:color="auto"/>
        </w:rPr>
        <w:t>11</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 New Roman" w:cs="Times New Roman"/>
          <w:color w:val="000000"/>
          <w:kern w:val="0"/>
          <w:sz w:val="32"/>
          <w:szCs w:val="32"/>
          <w:u w:val="none" w:color="auto"/>
        </w:rPr>
        <w:t>560.60</w:t>
      </w:r>
      <w:r>
        <w:rPr>
          <w:rFonts w:hint="default" w:ascii="Times New Roman" w:hAnsi="Times New Roman" w:eastAsia="仿宋_GB2312" w:cs="Times New Roman"/>
          <w:color w:val="000000"/>
          <w:kern w:val="0"/>
          <w:sz w:val="32"/>
          <w:szCs w:val="32"/>
          <w:u w:val="none" w:color="auto"/>
        </w:rPr>
        <w:t>万元相比，完成年初预算的</w:t>
      </w:r>
      <w:r>
        <w:rPr>
          <w:rFonts w:hint="default" w:ascii="Times New Roman" w:hAnsi="Times New Roman" w:eastAsia="Times New Roman" w:cs="Times New Roman"/>
          <w:color w:val="000000"/>
          <w:kern w:val="0"/>
          <w:sz w:val="32"/>
          <w:szCs w:val="32"/>
          <w:u w:val="none" w:color="auto"/>
        </w:rPr>
        <w:t xml:space="preserve"> 43.21</w:t>
      </w:r>
      <w:r>
        <w:rPr>
          <w:rFonts w:hint="default" w:ascii="Times New Roman" w:hAnsi="Times New Roman" w:eastAsia="仿宋_GB2312" w:cs="Times New Roman"/>
          <w:color w:val="000000"/>
          <w:kern w:val="0"/>
          <w:sz w:val="32"/>
          <w:szCs w:val="32"/>
          <w:u w:val="none" w:color="auto"/>
        </w:rPr>
        <w:t>%。其中：</w:t>
      </w:r>
    </w:p>
    <w:p w14:paraId="532FF307">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color w:val="000000"/>
          <w:kern w:val="0"/>
          <w:sz w:val="32"/>
          <w:szCs w:val="32"/>
          <w:u w:val="none" w:color="auto"/>
        </w:rPr>
        <w:t>（一）一般公共服务（类）</w:t>
      </w:r>
    </w:p>
    <w:p w14:paraId="1459D810">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一般公共服务（类）决算数为</w:t>
      </w:r>
      <w:r>
        <w:rPr>
          <w:rFonts w:hint="default" w:ascii="Times New Roman" w:hAnsi="Times New Roman" w:eastAsia="times_new_roman" w:cs="Times New Roman"/>
          <w:color w:val="000000"/>
          <w:kern w:val="0"/>
          <w:sz w:val="32"/>
          <w:szCs w:val="32"/>
          <w:u w:val="none" w:color="auto"/>
        </w:rPr>
        <w:t>5.13</w:t>
      </w:r>
      <w:r>
        <w:rPr>
          <w:rFonts w:hint="default" w:ascii="Times New Roman" w:hAnsi="Times New Roman" w:eastAsia="仿宋_GB2312" w:cs="Times New Roman"/>
          <w:color w:val="000000"/>
          <w:kern w:val="0"/>
          <w:sz w:val="32"/>
          <w:szCs w:val="32"/>
          <w:u w:val="none" w:color="auto"/>
        </w:rPr>
        <w:t>万元，与年初预算相比减少</w:t>
      </w:r>
      <w:r>
        <w:rPr>
          <w:rFonts w:hint="default" w:ascii="Times New Roman" w:hAnsi="Times New Roman" w:eastAsia="times_new_roman" w:cs="Times New Roman"/>
          <w:color w:val="000000"/>
          <w:kern w:val="0"/>
          <w:sz w:val="32"/>
          <w:szCs w:val="32"/>
          <w:u w:val="none" w:color="auto"/>
        </w:rPr>
        <w:t>4.87</w:t>
      </w:r>
      <w:r>
        <w:rPr>
          <w:rFonts w:hint="default" w:ascii="Times New Roman" w:hAnsi="Times New Roman" w:eastAsia="仿宋_GB2312" w:cs="Times New Roman"/>
          <w:color w:val="000000"/>
          <w:kern w:val="0"/>
          <w:sz w:val="32"/>
          <w:szCs w:val="32"/>
          <w:u w:val="none" w:color="auto"/>
        </w:rPr>
        <w:t>万元。其中：</w:t>
      </w:r>
    </w:p>
    <w:p w14:paraId="55DA6569">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1．纪检监察事务（款）派驻派出机构（项）。年初预算10.00万元，支出决算</w:t>
      </w:r>
      <w:r>
        <w:rPr>
          <w:rFonts w:hint="default" w:ascii="Times New Roman" w:hAnsi="Times New Roman" w:eastAsia="仿宋_GB2312" w:cs="Times New Roman"/>
          <w:color w:val="000000"/>
          <w:kern w:val="0"/>
          <w:sz w:val="32"/>
          <w:szCs w:val="32"/>
          <w:u w:val="none" w:color="auto"/>
          <w:lang w:val="en-US" w:eastAsia="zh-CN"/>
        </w:rPr>
        <w:t>5.13</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51.25</w:t>
      </w:r>
      <w:r>
        <w:rPr>
          <w:rFonts w:hint="default" w:ascii="Times New Roman" w:hAnsi="Times New Roman" w:eastAsia="仿宋_GB2312" w:cs="Times New Roman"/>
          <w:color w:val="000000"/>
          <w:kern w:val="0"/>
          <w:sz w:val="32"/>
          <w:szCs w:val="32"/>
          <w:u w:val="none" w:color="auto"/>
        </w:rPr>
        <w:t>%。决算数与年初预算数的差异原因：派驻纪检组工作经费每年投入10万元，本年度实际支出</w:t>
      </w:r>
      <w:r>
        <w:rPr>
          <w:rFonts w:hint="default" w:ascii="Times New Roman" w:hAnsi="Times New Roman" w:eastAsia="仿宋_GB2312" w:cs="Times New Roman"/>
          <w:color w:val="000000"/>
          <w:kern w:val="0"/>
          <w:sz w:val="32"/>
          <w:szCs w:val="32"/>
          <w:u w:val="none" w:color="auto"/>
          <w:lang w:val="en-US" w:eastAsia="zh-CN"/>
        </w:rPr>
        <w:t>5</w:t>
      </w:r>
      <w:r>
        <w:rPr>
          <w:rFonts w:hint="eastAsia" w:eastAsia="仿宋_GB2312" w:cs="Times New Roman"/>
          <w:color w:val="000000"/>
          <w:kern w:val="0"/>
          <w:sz w:val="32"/>
          <w:szCs w:val="32"/>
          <w:u w:val="none" w:color="auto"/>
          <w:lang w:val="en-US" w:eastAsia="zh-CN"/>
        </w:rPr>
        <w:t>.</w:t>
      </w:r>
      <w:r>
        <w:rPr>
          <w:rFonts w:hint="default" w:ascii="Times New Roman" w:hAnsi="Times New Roman" w:eastAsia="仿宋_GB2312" w:cs="Times New Roman"/>
          <w:color w:val="000000"/>
          <w:kern w:val="0"/>
          <w:sz w:val="32"/>
          <w:szCs w:val="32"/>
          <w:u w:val="none" w:color="auto"/>
          <w:lang w:val="en-US" w:eastAsia="zh-CN"/>
        </w:rPr>
        <w:t>1</w:t>
      </w:r>
      <w:r>
        <w:rPr>
          <w:rFonts w:hint="eastAsia" w:eastAsia="仿宋_GB2312" w:cs="Times New Roman"/>
          <w:color w:val="000000"/>
          <w:kern w:val="0"/>
          <w:sz w:val="32"/>
          <w:szCs w:val="32"/>
          <w:u w:val="none" w:color="auto"/>
          <w:lang w:val="en-US" w:eastAsia="zh-CN"/>
        </w:rPr>
        <w:t>3</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val="en-US" w:eastAsia="zh-CN"/>
        </w:rPr>
        <w:t>主要</w:t>
      </w:r>
      <w:r>
        <w:rPr>
          <w:rFonts w:hint="default" w:ascii="Times New Roman" w:hAnsi="Times New Roman" w:eastAsia="仿宋_GB2312" w:cs="Times New Roman"/>
          <w:color w:val="000000"/>
          <w:kern w:val="0"/>
          <w:sz w:val="32"/>
          <w:szCs w:val="32"/>
          <w:u w:val="none" w:color="auto"/>
        </w:rPr>
        <w:t>用于发放派驻纪检组专案经费</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支出派驻纪检组办公费差旅费等</w:t>
      </w:r>
      <w:r>
        <w:rPr>
          <w:rFonts w:hint="default" w:ascii="Times New Roman" w:hAnsi="Times New Roman" w:eastAsia="仿宋_GB2312" w:cs="Times New Roman"/>
          <w:color w:val="000000"/>
          <w:kern w:val="0"/>
          <w:sz w:val="32"/>
          <w:szCs w:val="32"/>
          <w:u w:val="none" w:color="auto"/>
        </w:rPr>
        <w:t>。</w:t>
      </w:r>
    </w:p>
    <w:p w14:paraId="67FBD69A">
      <w:pPr>
        <w:widowControl/>
        <w:spacing w:before="240" w:after="240"/>
        <w:ind w:firstLine="643" w:firstLineChars="200"/>
        <w:jc w:val="left"/>
        <w:rPr>
          <w:rFonts w:hint="eastAsia" w:eastAsia="宋体" w:cs="Times New Roman"/>
          <w:b/>
          <w:bCs/>
          <w:color w:val="000000"/>
          <w:kern w:val="0"/>
          <w:sz w:val="32"/>
          <w:szCs w:val="32"/>
          <w:u w:val="none" w:color="auto"/>
          <w:lang w:eastAsia="zh-CN"/>
        </w:rPr>
      </w:pPr>
      <w:r>
        <w:rPr>
          <w:rFonts w:hint="eastAsia" w:eastAsia="宋体" w:cs="Times New Roman"/>
          <w:b/>
          <w:bCs/>
          <w:color w:val="000000"/>
          <w:kern w:val="0"/>
          <w:sz w:val="32"/>
          <w:szCs w:val="32"/>
          <w:u w:val="none" w:color="auto"/>
          <w:lang w:eastAsia="zh-CN"/>
        </w:rPr>
        <w:t>（二）其他科学技术支出</w:t>
      </w:r>
    </w:p>
    <w:p w14:paraId="360B45FA">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eastAsia" w:ascii="仿宋_GB2312" w:hAnsi="仿宋_GB2312" w:eastAsia="仿宋_GB2312" w:cs="仿宋_GB2312"/>
          <w:b w:val="0"/>
          <w:bCs w:val="0"/>
          <w:color w:val="000000"/>
          <w:kern w:val="0"/>
          <w:sz w:val="32"/>
          <w:szCs w:val="32"/>
          <w:u w:val="none" w:color="auto"/>
          <w:lang w:eastAsia="zh-CN"/>
        </w:rPr>
        <w:t>科学技术支出（类）</w:t>
      </w:r>
      <w:r>
        <w:rPr>
          <w:rFonts w:hint="eastAsia" w:ascii="仿宋_GB2312" w:hAnsi="仿宋_GB2312" w:eastAsia="仿宋_GB2312" w:cs="仿宋_GB2312"/>
          <w:b w:val="0"/>
          <w:bCs w:val="0"/>
          <w:color w:val="000000"/>
          <w:kern w:val="0"/>
          <w:sz w:val="32"/>
          <w:szCs w:val="32"/>
          <w:u w:val="none" w:color="auto"/>
        </w:rPr>
        <w:t>决算</w:t>
      </w:r>
      <w:r>
        <w:rPr>
          <w:rFonts w:hint="default" w:ascii="Times New Roman" w:hAnsi="Times New Roman" w:eastAsia="仿宋_GB2312" w:cs="Times New Roman"/>
          <w:color w:val="000000"/>
          <w:kern w:val="0"/>
          <w:sz w:val="32"/>
          <w:szCs w:val="32"/>
          <w:u w:val="none" w:color="auto"/>
        </w:rPr>
        <w:t>数为</w:t>
      </w:r>
      <w:r>
        <w:rPr>
          <w:rFonts w:hint="eastAsia" w:eastAsia="仿宋_GB2312" w:cs="Times New Roman"/>
          <w:color w:val="000000"/>
          <w:kern w:val="0"/>
          <w:sz w:val="32"/>
          <w:szCs w:val="32"/>
          <w:u w:val="none" w:color="auto"/>
          <w:lang w:val="en-US" w:eastAsia="zh-CN"/>
        </w:rPr>
        <w:t>7.32</w:t>
      </w:r>
      <w:r>
        <w:rPr>
          <w:rFonts w:hint="default" w:ascii="Times New Roman" w:hAnsi="Times New Roman" w:eastAsia="仿宋_GB2312" w:cs="Times New Roman"/>
          <w:color w:val="000000"/>
          <w:kern w:val="0"/>
          <w:sz w:val="32"/>
          <w:szCs w:val="32"/>
          <w:u w:val="none" w:color="auto"/>
        </w:rPr>
        <w:t>万元，与年初预算相比增加</w:t>
      </w:r>
      <w:r>
        <w:rPr>
          <w:rFonts w:hint="eastAsia" w:cs="Times New Roman"/>
          <w:color w:val="000000"/>
          <w:kern w:val="0"/>
          <w:sz w:val="32"/>
          <w:szCs w:val="32"/>
          <w:u w:val="none" w:color="auto"/>
          <w:lang w:val="en-US" w:eastAsia="zh-CN"/>
        </w:rPr>
        <w:t>7.32</w:t>
      </w:r>
      <w:bookmarkStart w:id="1" w:name="_GoBack"/>
      <w:bookmarkEnd w:id="1"/>
      <w:r>
        <w:rPr>
          <w:rFonts w:hint="default" w:ascii="Times New Roman" w:hAnsi="Times New Roman" w:eastAsia="仿宋_GB2312" w:cs="Times New Roman"/>
          <w:color w:val="000000"/>
          <w:kern w:val="0"/>
          <w:sz w:val="32"/>
          <w:szCs w:val="32"/>
          <w:u w:val="none" w:color="auto"/>
        </w:rPr>
        <w:t>万元。其中：</w:t>
      </w:r>
    </w:p>
    <w:p w14:paraId="7758FEDF">
      <w:pPr>
        <w:widowControl/>
        <w:spacing w:before="240" w:after="240"/>
        <w:ind w:firstLine="640" w:firstLineChars="200"/>
        <w:jc w:val="left"/>
        <w:rPr>
          <w:rFonts w:hint="default" w:ascii="仿宋_GB2312" w:hAnsi="仿宋_GB2312" w:eastAsia="仿宋_GB2312" w:cs="仿宋_GB2312"/>
          <w:b/>
          <w:bCs/>
          <w:color w:val="000000"/>
          <w:kern w:val="0"/>
          <w:sz w:val="32"/>
          <w:szCs w:val="32"/>
          <w:u w:val="none" w:color="auto"/>
          <w:lang w:val="en-US" w:eastAsia="zh-CN"/>
        </w:rPr>
      </w:pPr>
      <w:r>
        <w:rPr>
          <w:rFonts w:hint="eastAsia" w:ascii="仿宋_GB2312" w:hAnsi="仿宋_GB2312" w:eastAsia="仿宋_GB2312" w:cs="仿宋_GB2312"/>
          <w:b w:val="0"/>
          <w:bCs w:val="0"/>
          <w:color w:val="000000"/>
          <w:kern w:val="0"/>
          <w:sz w:val="32"/>
          <w:szCs w:val="32"/>
          <w:u w:val="none" w:color="auto"/>
          <w:lang w:val="en-US" w:eastAsia="zh-CN"/>
        </w:rPr>
        <w:t>1.</w:t>
      </w:r>
      <w:r>
        <w:rPr>
          <w:rFonts w:hint="eastAsia" w:ascii="仿宋_GB2312" w:hAnsi="仿宋_GB2312" w:eastAsia="仿宋_GB2312" w:cs="仿宋_GB2312"/>
          <w:b w:val="0"/>
          <w:bCs w:val="0"/>
          <w:color w:val="000000"/>
          <w:kern w:val="0"/>
          <w:sz w:val="32"/>
          <w:szCs w:val="32"/>
          <w:u w:val="none" w:color="auto"/>
          <w:lang w:eastAsia="zh-CN"/>
        </w:rPr>
        <w:t>其他科学技术支出</w:t>
      </w:r>
      <w:r>
        <w:rPr>
          <w:rFonts w:hint="default" w:ascii="Times New Roman" w:hAnsi="Times New Roman" w:eastAsia="仿宋_GB2312" w:cs="Times New Roman"/>
          <w:color w:val="000000"/>
          <w:kern w:val="0"/>
          <w:sz w:val="32"/>
          <w:szCs w:val="32"/>
          <w:u w:val="none" w:color="auto"/>
        </w:rPr>
        <w:t>（款）</w:t>
      </w:r>
      <w:r>
        <w:rPr>
          <w:rFonts w:hint="eastAsia" w:ascii="仿宋_GB2312" w:hAnsi="仿宋_GB2312" w:eastAsia="仿宋_GB2312" w:cs="仿宋_GB2312"/>
          <w:b w:val="0"/>
          <w:bCs w:val="0"/>
          <w:color w:val="000000"/>
          <w:kern w:val="0"/>
          <w:sz w:val="32"/>
          <w:szCs w:val="32"/>
          <w:u w:val="none" w:color="auto"/>
          <w:lang w:eastAsia="zh-CN"/>
        </w:rPr>
        <w:t>其他科学技术支出</w:t>
      </w:r>
      <w:r>
        <w:rPr>
          <w:rFonts w:hint="default" w:ascii="Times New Roman" w:hAnsi="Times New Roman" w:eastAsia="仿宋_GB2312" w:cs="Times New Roman"/>
          <w:color w:val="000000"/>
          <w:kern w:val="0"/>
          <w:sz w:val="32"/>
          <w:szCs w:val="32"/>
          <w:u w:val="none" w:color="auto"/>
        </w:rPr>
        <w:t>（项）。年初预算</w:t>
      </w:r>
      <w:r>
        <w:rPr>
          <w:rFonts w:hint="eastAsia" w:eastAsia="仿宋_GB2312"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万元，支出决算</w:t>
      </w:r>
      <w:r>
        <w:rPr>
          <w:rFonts w:hint="eastAsia" w:eastAsia="仿宋_GB2312" w:cs="Times New Roman"/>
          <w:color w:val="000000"/>
          <w:kern w:val="0"/>
          <w:sz w:val="32"/>
          <w:szCs w:val="32"/>
          <w:u w:val="none" w:color="auto"/>
          <w:lang w:val="en-US" w:eastAsia="zh-CN"/>
        </w:rPr>
        <w:t>7.32</w:t>
      </w:r>
      <w:r>
        <w:rPr>
          <w:rFonts w:hint="default" w:ascii="Times New Roman" w:hAnsi="Times New Roman" w:eastAsia="仿宋_GB2312" w:cs="Times New Roman"/>
          <w:color w:val="000000"/>
          <w:kern w:val="0"/>
          <w:sz w:val="32"/>
          <w:szCs w:val="32"/>
          <w:u w:val="none" w:color="auto"/>
        </w:rPr>
        <w:t>万元，完成年初预算的</w:t>
      </w:r>
      <w:r>
        <w:rPr>
          <w:rFonts w:hint="eastAsia" w:eastAsia="仿宋_GB2312" w:cs="Times New Roman"/>
          <w:color w:val="000000"/>
          <w:kern w:val="0"/>
          <w:sz w:val="32"/>
          <w:szCs w:val="32"/>
          <w:u w:val="none" w:color="auto"/>
          <w:lang w:val="en-US" w:eastAsia="zh-CN"/>
        </w:rPr>
        <w:t>100.00</w:t>
      </w:r>
      <w:r>
        <w:rPr>
          <w:rFonts w:hint="default" w:ascii="Times New Roman" w:hAnsi="Times New Roman" w:eastAsia="仿宋_GB2312" w:cs="Times New Roman"/>
          <w:color w:val="000000"/>
          <w:kern w:val="0"/>
          <w:sz w:val="32"/>
          <w:szCs w:val="32"/>
          <w:u w:val="none" w:color="auto"/>
        </w:rPr>
        <w:t>%。决算数与年初预算数的差异原因：</w:t>
      </w:r>
      <w:r>
        <w:rPr>
          <w:rFonts w:hint="eastAsia" w:eastAsia="仿宋_GB2312" w:cs="Times New Roman"/>
          <w:color w:val="000000"/>
          <w:kern w:val="0"/>
          <w:sz w:val="32"/>
          <w:szCs w:val="32"/>
          <w:u w:val="none" w:color="auto"/>
          <w:lang w:eastAsia="zh-CN"/>
        </w:rPr>
        <w:t>本年度收到市委组织部拨入人才工作经费，实际支出</w:t>
      </w:r>
      <w:r>
        <w:rPr>
          <w:rFonts w:hint="eastAsia" w:eastAsia="仿宋_GB2312" w:cs="Times New Roman"/>
          <w:color w:val="000000"/>
          <w:kern w:val="0"/>
          <w:sz w:val="32"/>
          <w:szCs w:val="32"/>
          <w:u w:val="none" w:color="auto"/>
          <w:lang w:val="en-US" w:eastAsia="zh-CN"/>
        </w:rPr>
        <w:t>7.32万元。</w:t>
      </w:r>
    </w:p>
    <w:p w14:paraId="484A99BD">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color w:val="000000"/>
          <w:kern w:val="0"/>
          <w:sz w:val="32"/>
          <w:szCs w:val="32"/>
          <w:u w:val="none" w:color="auto"/>
        </w:rPr>
        <w:t>（三）社会保障和就业支出（类）</w:t>
      </w:r>
    </w:p>
    <w:p w14:paraId="4CD4D3D8">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社会保障和就业支出（类）决算数为</w:t>
      </w:r>
      <w:r>
        <w:rPr>
          <w:rFonts w:hint="default" w:ascii="Times New Roman" w:hAnsi="Times New Roman" w:eastAsia="times_new_roman" w:cs="Times New Roman"/>
          <w:color w:val="000000"/>
          <w:kern w:val="0"/>
          <w:sz w:val="32"/>
          <w:szCs w:val="32"/>
          <w:u w:val="none" w:color="auto"/>
        </w:rPr>
        <w:t>374.12</w:t>
      </w:r>
      <w:r>
        <w:rPr>
          <w:rFonts w:hint="default" w:ascii="Times New Roman" w:hAnsi="Times New Roman" w:eastAsia="仿宋_GB2312" w:cs="Times New Roman"/>
          <w:color w:val="000000"/>
          <w:kern w:val="0"/>
          <w:sz w:val="32"/>
          <w:szCs w:val="32"/>
          <w:u w:val="none" w:color="auto"/>
        </w:rPr>
        <w:t>万元，与年初预算相比增加</w:t>
      </w:r>
      <w:r>
        <w:rPr>
          <w:rFonts w:hint="default" w:ascii="Times New Roman" w:hAnsi="Times New Roman" w:eastAsia="宋体" w:cs="Times New Roman"/>
          <w:color w:val="000000"/>
          <w:kern w:val="0"/>
          <w:sz w:val="32"/>
          <w:szCs w:val="32"/>
          <w:u w:val="none" w:color="auto"/>
          <w:lang w:val="en-US" w:eastAsia="zh-CN"/>
        </w:rPr>
        <w:t>126.87</w:t>
      </w:r>
      <w:r>
        <w:rPr>
          <w:rFonts w:hint="default" w:ascii="Times New Roman" w:hAnsi="Times New Roman" w:eastAsia="仿宋_GB2312" w:cs="Times New Roman"/>
          <w:color w:val="000000"/>
          <w:kern w:val="0"/>
          <w:sz w:val="32"/>
          <w:szCs w:val="32"/>
          <w:u w:val="none" w:color="auto"/>
        </w:rPr>
        <w:t>万元。其中：</w:t>
      </w:r>
    </w:p>
    <w:p w14:paraId="734D92AC">
      <w:pPr>
        <w:widowControl/>
        <w:spacing w:before="240" w:after="240"/>
        <w:ind w:firstLine="640" w:firstLineChars="200"/>
        <w:jc w:val="left"/>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1．行政事业单位养老支出（款）行政单位离退休（项）。年初预算</w:t>
      </w:r>
      <w:r>
        <w:rPr>
          <w:rFonts w:hint="default" w:ascii="Times New Roman" w:hAnsi="Times New Roman" w:eastAsia="仿宋_GB2312" w:cs="Times New Roman"/>
          <w:color w:val="000000"/>
          <w:kern w:val="0"/>
          <w:sz w:val="32"/>
          <w:szCs w:val="32"/>
          <w:u w:val="none" w:color="auto"/>
          <w:lang w:val="en-US" w:eastAsia="zh-CN"/>
        </w:rPr>
        <w:t>79.77</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82.13</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102.96</w:t>
      </w:r>
      <w:r>
        <w:rPr>
          <w:rFonts w:hint="default" w:ascii="Times New Roman" w:hAnsi="Times New Roman" w:eastAsia="仿宋_GB2312" w:cs="Times New Roman"/>
          <w:color w:val="000000"/>
          <w:kern w:val="0"/>
          <w:sz w:val="32"/>
          <w:szCs w:val="32"/>
          <w:u w:val="none" w:color="auto"/>
        </w:rPr>
        <w:t>%。决算数与年初预算数的差异原因：年度工资调整引起的少量变化。</w:t>
      </w:r>
    </w:p>
    <w:p w14:paraId="2F3FF4EE">
      <w:pPr>
        <w:widowControl/>
        <w:spacing w:before="240" w:after="240"/>
        <w:ind w:firstLine="640" w:firstLineChars="200"/>
        <w:jc w:val="left"/>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2．行政事业单位养老支出（款）机关事业单位基本养老保险缴费支出（项）。年初预算</w:t>
      </w:r>
      <w:r>
        <w:rPr>
          <w:rFonts w:hint="default" w:ascii="Times New Roman" w:hAnsi="Times New Roman" w:eastAsia="仿宋_GB2312" w:cs="Times New Roman"/>
          <w:color w:val="000000"/>
          <w:kern w:val="0"/>
          <w:sz w:val="32"/>
          <w:szCs w:val="32"/>
          <w:u w:val="none" w:color="auto"/>
          <w:lang w:val="en-US" w:eastAsia="zh-CN"/>
        </w:rPr>
        <w:t>125.58</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124.24</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98.93</w:t>
      </w:r>
      <w:r>
        <w:rPr>
          <w:rFonts w:hint="default" w:ascii="Times New Roman" w:hAnsi="Times New Roman" w:eastAsia="仿宋_GB2312" w:cs="Times New Roman"/>
          <w:color w:val="000000"/>
          <w:kern w:val="0"/>
          <w:sz w:val="32"/>
          <w:szCs w:val="32"/>
          <w:u w:val="none" w:color="auto"/>
        </w:rPr>
        <w:t>%。决算数与年初预算数的差异原因：年度工资调整引起的少量变化。</w:t>
      </w:r>
    </w:p>
    <w:p w14:paraId="45B79190">
      <w:pPr>
        <w:widowControl/>
        <w:spacing w:before="240" w:after="240"/>
        <w:ind w:firstLine="640" w:firstLineChars="200"/>
        <w:jc w:val="left"/>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3．行政事业单位养老支出（款）机关事业单位职业年金缴费支出（项）。年初预算</w:t>
      </w:r>
      <w:r>
        <w:rPr>
          <w:rFonts w:hint="default" w:ascii="Times New Roman" w:hAnsi="Times New Roman" w:eastAsia="仿宋_GB2312" w:cs="Times New Roman"/>
          <w:color w:val="000000"/>
          <w:kern w:val="0"/>
          <w:sz w:val="32"/>
          <w:szCs w:val="32"/>
          <w:u w:val="none" w:color="auto"/>
          <w:lang w:val="en-US" w:eastAsia="zh-CN"/>
        </w:rPr>
        <w:t>26.04</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22.96</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88.17</w:t>
      </w:r>
      <w:r>
        <w:rPr>
          <w:rFonts w:hint="default" w:ascii="Times New Roman" w:hAnsi="Times New Roman" w:eastAsia="仿宋_GB2312" w:cs="Times New Roman"/>
          <w:color w:val="000000"/>
          <w:kern w:val="0"/>
          <w:sz w:val="32"/>
          <w:szCs w:val="32"/>
          <w:u w:val="none" w:color="auto"/>
        </w:rPr>
        <w:t>%。决算数与年初预算数的差异原因：职业年金预算数按照上年度退休</w:t>
      </w:r>
      <w:r>
        <w:rPr>
          <w:rFonts w:hint="default" w:ascii="Times New Roman" w:hAnsi="Times New Roman" w:eastAsia="仿宋_GB2312" w:cs="Times New Roman"/>
          <w:color w:val="000000"/>
          <w:kern w:val="0"/>
          <w:sz w:val="32"/>
          <w:szCs w:val="32"/>
          <w:u w:val="none" w:color="auto"/>
          <w:lang w:val="en-US" w:eastAsia="zh-CN"/>
        </w:rPr>
        <w:t>人员职业年金最高数</w:t>
      </w:r>
      <w:r>
        <w:rPr>
          <w:rFonts w:hint="default" w:ascii="Times New Roman" w:hAnsi="Times New Roman" w:eastAsia="仿宋_GB2312" w:cs="Times New Roman"/>
          <w:color w:val="000000"/>
          <w:kern w:val="0"/>
          <w:sz w:val="32"/>
          <w:szCs w:val="32"/>
          <w:u w:val="none" w:color="auto"/>
        </w:rPr>
        <w:t>测算，本年度实际</w:t>
      </w:r>
      <w:r>
        <w:rPr>
          <w:rFonts w:hint="default" w:ascii="Times New Roman" w:hAnsi="Times New Roman" w:eastAsia="仿宋_GB2312" w:cs="Times New Roman"/>
          <w:color w:val="000000"/>
          <w:kern w:val="0"/>
          <w:sz w:val="32"/>
          <w:szCs w:val="32"/>
          <w:u w:val="none" w:color="auto"/>
          <w:lang w:val="en-US" w:eastAsia="zh-CN"/>
        </w:rPr>
        <w:t>支出22.96万元</w:t>
      </w:r>
      <w:r>
        <w:rPr>
          <w:rFonts w:hint="default" w:ascii="Times New Roman" w:hAnsi="Times New Roman" w:eastAsia="仿宋_GB2312" w:cs="Times New Roman"/>
          <w:color w:val="000000"/>
          <w:kern w:val="0"/>
          <w:sz w:val="32"/>
          <w:szCs w:val="32"/>
          <w:u w:val="none" w:color="auto"/>
        </w:rPr>
        <w:t>，故预算数较大。</w:t>
      </w:r>
    </w:p>
    <w:p w14:paraId="0D7EA813">
      <w:pPr>
        <w:widowControl/>
        <w:spacing w:before="240" w:after="240"/>
        <w:ind w:firstLine="640" w:firstLineChars="200"/>
        <w:jc w:val="left"/>
        <w:rPr>
          <w:rFonts w:hint="default" w:ascii="Times New Roman" w:hAnsi="Times New Roman" w:eastAsia="仿宋_GB2312" w:cs="Times New Roman"/>
          <w:b/>
          <w:bCs/>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4．</w:t>
      </w:r>
      <w:r>
        <w:rPr>
          <w:rFonts w:hint="default" w:ascii="Times New Roman" w:hAnsi="Times New Roman" w:eastAsia="仿宋_GB2312" w:cs="Times New Roman"/>
          <w:color w:val="000000"/>
          <w:kern w:val="0"/>
          <w:sz w:val="32"/>
          <w:szCs w:val="32"/>
          <w:u w:val="none" w:color="auto"/>
          <w:lang w:val="en-US" w:eastAsia="zh-CN"/>
        </w:rPr>
        <w:t>抚恤</w:t>
      </w:r>
      <w:r>
        <w:rPr>
          <w:rFonts w:hint="default" w:ascii="Times New Roman" w:hAnsi="Times New Roman" w:eastAsia="仿宋_GB2312" w:cs="Times New Roman"/>
          <w:color w:val="000000"/>
          <w:kern w:val="0"/>
          <w:sz w:val="32"/>
          <w:szCs w:val="32"/>
          <w:u w:val="none" w:color="auto"/>
        </w:rPr>
        <w:t>（款）</w:t>
      </w:r>
      <w:r>
        <w:rPr>
          <w:rFonts w:hint="default" w:ascii="Times New Roman" w:hAnsi="Times New Roman" w:eastAsia="仿宋_GB2312" w:cs="Times New Roman"/>
          <w:color w:val="000000"/>
          <w:kern w:val="0"/>
          <w:sz w:val="32"/>
          <w:szCs w:val="32"/>
          <w:u w:val="none" w:color="auto"/>
          <w:lang w:val="en-US" w:eastAsia="zh-CN"/>
        </w:rPr>
        <w:t>死亡抚恤</w:t>
      </w:r>
      <w:r>
        <w:rPr>
          <w:rFonts w:hint="default" w:ascii="Times New Roman" w:hAnsi="Times New Roman" w:eastAsia="仿宋_GB2312" w:cs="Times New Roman"/>
          <w:color w:val="000000"/>
          <w:kern w:val="0"/>
          <w:sz w:val="32"/>
          <w:szCs w:val="32"/>
          <w:u w:val="none" w:color="auto"/>
        </w:rPr>
        <w:t>（项）。年初预算</w:t>
      </w:r>
      <w:r>
        <w:rPr>
          <w:rFonts w:hint="default" w:ascii="Times New Roman" w:hAnsi="Times New Roman" w:eastAsia="仿宋_GB2312"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132.56</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100.00</w:t>
      </w:r>
      <w:r>
        <w:rPr>
          <w:rFonts w:hint="default" w:ascii="Times New Roman" w:hAnsi="Times New Roman" w:eastAsia="仿宋_GB2312" w:cs="Times New Roman"/>
          <w:color w:val="000000"/>
          <w:kern w:val="0"/>
          <w:sz w:val="32"/>
          <w:szCs w:val="32"/>
          <w:u w:val="none" w:color="auto"/>
        </w:rPr>
        <w:t>%。决算数与年初预算数的差异原因：此款项为</w:t>
      </w:r>
      <w:r>
        <w:rPr>
          <w:rFonts w:hint="default" w:ascii="Times New Roman" w:hAnsi="Times New Roman" w:eastAsia="仿宋_GB2312" w:cs="Times New Roman"/>
          <w:color w:val="000000"/>
          <w:kern w:val="0"/>
          <w:sz w:val="32"/>
          <w:szCs w:val="32"/>
          <w:u w:val="none" w:color="auto"/>
          <w:lang w:val="en-US" w:eastAsia="zh-CN"/>
        </w:rPr>
        <w:t>退休人员的死亡抚恤金</w:t>
      </w:r>
      <w:r>
        <w:rPr>
          <w:rFonts w:hint="default" w:ascii="Times New Roman" w:hAnsi="Times New Roman" w:eastAsia="仿宋_GB2312" w:cs="Times New Roman"/>
          <w:color w:val="000000"/>
          <w:kern w:val="0"/>
          <w:sz w:val="32"/>
          <w:szCs w:val="32"/>
          <w:u w:val="none" w:color="auto"/>
        </w:rPr>
        <w:t>，本年度</w:t>
      </w:r>
      <w:r>
        <w:rPr>
          <w:rFonts w:hint="default" w:ascii="Times New Roman" w:hAnsi="Times New Roman" w:eastAsia="仿宋_GB2312" w:cs="Times New Roman"/>
          <w:color w:val="000000"/>
          <w:kern w:val="0"/>
          <w:sz w:val="32"/>
          <w:szCs w:val="32"/>
          <w:u w:val="none" w:color="auto"/>
          <w:lang w:val="en-US" w:eastAsia="zh-CN"/>
        </w:rPr>
        <w:t>两名退休人员离世，</w:t>
      </w:r>
      <w:r>
        <w:rPr>
          <w:rFonts w:hint="default" w:ascii="Times New Roman" w:hAnsi="Times New Roman" w:eastAsia="仿宋_GB2312" w:cs="Times New Roman"/>
          <w:color w:val="000000"/>
          <w:kern w:val="0"/>
          <w:sz w:val="32"/>
          <w:szCs w:val="32"/>
          <w:u w:val="none" w:color="auto"/>
        </w:rPr>
        <w:t>支出</w:t>
      </w:r>
      <w:r>
        <w:rPr>
          <w:rFonts w:hint="default" w:ascii="Times New Roman" w:hAnsi="Times New Roman" w:eastAsia="仿宋_GB2312" w:cs="Times New Roman"/>
          <w:color w:val="000000"/>
          <w:kern w:val="0"/>
          <w:sz w:val="32"/>
          <w:szCs w:val="32"/>
          <w:u w:val="none" w:color="auto"/>
          <w:lang w:val="en-US" w:eastAsia="zh-CN"/>
        </w:rPr>
        <w:t>抚恤金132.56</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b/>
          <w:bCs/>
          <w:color w:val="000000"/>
          <w:kern w:val="0"/>
          <w:sz w:val="32"/>
          <w:szCs w:val="32"/>
          <w:u w:val="none" w:color="auto"/>
        </w:rPr>
        <w:t> </w:t>
      </w:r>
    </w:p>
    <w:p w14:paraId="2493DC98">
      <w:pPr>
        <w:widowControl/>
        <w:spacing w:before="240" w:after="240"/>
        <w:ind w:firstLine="640" w:firstLineChars="200"/>
        <w:jc w:val="left"/>
        <w:rPr>
          <w:rFonts w:hint="default" w:ascii="Times New Roman" w:hAnsi="Times New Roman" w:eastAsia="仿宋_GB2312" w:cs="Times New Roman"/>
          <w:b/>
          <w:bCs/>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lang w:val="en-US" w:eastAsia="zh-CN"/>
        </w:rPr>
        <w:t>5</w:t>
      </w:r>
      <w:r>
        <w:rPr>
          <w:rFonts w:hint="default" w:ascii="Times New Roman" w:hAnsi="Times New Roman" w:eastAsia="仿宋_GB2312" w:cs="Times New Roman"/>
          <w:color w:val="000000"/>
          <w:kern w:val="0"/>
          <w:sz w:val="32"/>
          <w:szCs w:val="32"/>
          <w:u w:val="none" w:color="auto"/>
        </w:rPr>
        <w:t>．其他社会保障和就业支出（款）其他社会保障和就业支出（项）。年初预算</w:t>
      </w:r>
      <w:r>
        <w:rPr>
          <w:rFonts w:hint="default" w:ascii="Times New Roman" w:hAnsi="Times New Roman" w:eastAsia="仿宋_GB2312" w:cs="Times New Roman"/>
          <w:color w:val="000000"/>
          <w:kern w:val="0"/>
          <w:sz w:val="32"/>
          <w:szCs w:val="32"/>
          <w:u w:val="none" w:color="auto"/>
          <w:lang w:val="en-US" w:eastAsia="zh-CN"/>
        </w:rPr>
        <w:t>15.86</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12.24</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77.18</w:t>
      </w:r>
      <w:r>
        <w:rPr>
          <w:rFonts w:hint="default" w:ascii="Times New Roman" w:hAnsi="Times New Roman" w:eastAsia="仿宋_GB2312" w:cs="Times New Roman"/>
          <w:color w:val="000000"/>
          <w:kern w:val="0"/>
          <w:sz w:val="32"/>
          <w:szCs w:val="32"/>
          <w:u w:val="none" w:color="auto"/>
        </w:rPr>
        <w:t>%。决算数与年初预算数的差异原因：此款项主要为</w:t>
      </w:r>
      <w:r>
        <w:rPr>
          <w:rFonts w:hint="default" w:ascii="Times New Roman" w:hAnsi="Times New Roman" w:eastAsia="仿宋_GB2312" w:cs="Times New Roman"/>
          <w:color w:val="000000"/>
          <w:kern w:val="0"/>
          <w:sz w:val="32"/>
          <w:szCs w:val="32"/>
          <w:u w:val="none" w:color="auto"/>
          <w:lang w:val="en-US" w:eastAsia="zh-CN"/>
        </w:rPr>
        <w:t>残疾人就业保障金、工伤保险和失业保险</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u w:val="none" w:color="auto"/>
          <w:lang w:val="en-US" w:eastAsia="zh-CN"/>
        </w:rPr>
        <w:t>残疾人就业保障金实际按照测算数的90%缴纳，故产生预算结余较大</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b/>
          <w:bCs/>
          <w:color w:val="000000"/>
          <w:kern w:val="0"/>
          <w:sz w:val="32"/>
          <w:szCs w:val="32"/>
          <w:u w:val="none" w:color="auto"/>
        </w:rPr>
        <w:t> </w:t>
      </w:r>
    </w:p>
    <w:p w14:paraId="705FBFCC">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color w:val="000000"/>
          <w:kern w:val="0"/>
          <w:sz w:val="32"/>
          <w:szCs w:val="32"/>
          <w:u w:val="none" w:color="auto"/>
        </w:rPr>
        <w:t>（四）卫生健康支出（类）</w:t>
      </w:r>
    </w:p>
    <w:p w14:paraId="677116F5">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卫生健康支出（类）决算数为</w:t>
      </w:r>
      <w:r>
        <w:rPr>
          <w:rFonts w:hint="default" w:ascii="Times New Roman" w:hAnsi="Times New Roman" w:eastAsia="times_new_roman" w:cs="Times New Roman"/>
          <w:color w:val="000000"/>
          <w:kern w:val="0"/>
          <w:sz w:val="32"/>
          <w:szCs w:val="32"/>
          <w:u w:val="none" w:color="auto"/>
        </w:rPr>
        <w:t>2</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439.94</w:t>
      </w:r>
      <w:r>
        <w:rPr>
          <w:rFonts w:hint="default" w:ascii="Times New Roman" w:hAnsi="Times New Roman" w:eastAsia="仿宋_GB2312" w:cs="Times New Roman"/>
          <w:color w:val="000000"/>
          <w:kern w:val="0"/>
          <w:sz w:val="32"/>
          <w:szCs w:val="32"/>
          <w:u w:val="none" w:color="auto"/>
        </w:rPr>
        <w:t>万元，与年初预算相比减少</w:t>
      </w:r>
      <w:r>
        <w:rPr>
          <w:rFonts w:hint="default" w:ascii="Times New Roman" w:hAnsi="Times New Roman" w:eastAsia="times_new_roman" w:cs="Times New Roman"/>
          <w:color w:val="000000"/>
          <w:kern w:val="0"/>
          <w:sz w:val="32"/>
          <w:szCs w:val="32"/>
          <w:u w:val="none" w:color="auto"/>
        </w:rPr>
        <w:t>8</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439.05</w:t>
      </w:r>
      <w:r>
        <w:rPr>
          <w:rFonts w:hint="default" w:ascii="Times New Roman" w:hAnsi="Times New Roman" w:eastAsia="仿宋_GB2312" w:cs="Times New Roman"/>
          <w:color w:val="000000"/>
          <w:kern w:val="0"/>
          <w:sz w:val="32"/>
          <w:szCs w:val="32"/>
          <w:u w:val="none" w:color="auto"/>
        </w:rPr>
        <w:t>万元。其中：</w:t>
      </w:r>
    </w:p>
    <w:p w14:paraId="1A2484CC">
      <w:pPr>
        <w:widowControl/>
        <w:spacing w:before="240" w:after="240"/>
        <w:ind w:firstLine="640" w:firstLineChars="200"/>
        <w:rPr>
          <w:rFonts w:hint="default" w:ascii="Times New Roman" w:hAnsi="Times New Roman" w:eastAsia="仿宋_GB2312" w:cs="Times New Roman"/>
          <w:color w:val="000000"/>
          <w:kern w:val="0"/>
          <w:sz w:val="32"/>
          <w:szCs w:val="32"/>
          <w:u w:val="none" w:color="auto"/>
          <w:lang w:val="en-US" w:eastAsia="zh-CN"/>
        </w:rPr>
      </w:pPr>
      <w:r>
        <w:rPr>
          <w:rFonts w:hint="default" w:ascii="Times New Roman" w:hAnsi="Times New Roman" w:eastAsia="仿宋_GB2312" w:cs="Times New Roman"/>
          <w:color w:val="000000"/>
          <w:kern w:val="0"/>
          <w:sz w:val="32"/>
          <w:szCs w:val="32"/>
          <w:u w:val="none" w:color="auto"/>
        </w:rPr>
        <w:t>1．卫生健康管理事务（款）行政运行（项）。年初预算</w:t>
      </w:r>
      <w:r>
        <w:rPr>
          <w:rFonts w:hint="default" w:ascii="Times New Roman" w:hAnsi="Times New Roman" w:eastAsia="仿宋_GB2312" w:cs="Times New Roman"/>
          <w:color w:val="000000"/>
          <w:kern w:val="0"/>
          <w:sz w:val="32"/>
          <w:szCs w:val="32"/>
          <w:u w:val="none" w:color="auto"/>
          <w:lang w:val="en-US" w:eastAsia="zh-CN"/>
        </w:rPr>
        <w:t>1,109.21</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1,113.09</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100.35</w:t>
      </w:r>
      <w:r>
        <w:rPr>
          <w:rFonts w:hint="default" w:ascii="Times New Roman" w:hAnsi="Times New Roman" w:eastAsia="仿宋_GB2312" w:cs="Times New Roman"/>
          <w:color w:val="000000"/>
          <w:kern w:val="0"/>
          <w:sz w:val="32"/>
          <w:szCs w:val="32"/>
          <w:u w:val="none" w:color="auto"/>
        </w:rPr>
        <w:t>%。决算数与年初预算数的差异原因：</w:t>
      </w:r>
      <w:r>
        <w:rPr>
          <w:rFonts w:hint="default" w:ascii="Times New Roman" w:hAnsi="Times New Roman" w:eastAsia="仿宋_GB2312" w:cs="Times New Roman"/>
          <w:color w:val="000000"/>
          <w:kern w:val="0"/>
          <w:sz w:val="32"/>
          <w:szCs w:val="32"/>
          <w:u w:val="none" w:color="auto"/>
          <w:lang w:val="en-US" w:eastAsia="zh-CN"/>
        </w:rPr>
        <w:t>本年度因人员调整追加人员经费预算，故实际支出稍大。</w:t>
      </w:r>
    </w:p>
    <w:p w14:paraId="31F1664C">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2．卫生健康管理事务（款）其他卫生健康管理事务支出（项）。年初预算</w:t>
      </w:r>
      <w:r>
        <w:rPr>
          <w:rFonts w:hint="default" w:ascii="Times New Roman" w:hAnsi="Times New Roman" w:eastAsia="仿宋_GB2312" w:cs="Times New Roman"/>
          <w:color w:val="000000"/>
          <w:kern w:val="0"/>
          <w:sz w:val="32"/>
          <w:szCs w:val="32"/>
          <w:u w:val="none" w:color="auto"/>
          <w:lang w:val="en-US" w:eastAsia="zh-CN"/>
        </w:rPr>
        <w:t>804.00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762.46</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94.83</w:t>
      </w:r>
      <w:r>
        <w:rPr>
          <w:rFonts w:hint="default" w:ascii="Times New Roman" w:hAnsi="Times New Roman" w:eastAsia="仿宋_GB2312" w:cs="Times New Roman"/>
          <w:color w:val="000000"/>
          <w:kern w:val="0"/>
          <w:sz w:val="32"/>
          <w:szCs w:val="32"/>
          <w:u w:val="none" w:color="auto"/>
        </w:rPr>
        <w:t>%。决算数与年初预算数的差异原因：本项支出包括的深化医药卫生体制改革、健康行动和继续医学教育工作经费</w:t>
      </w:r>
      <w:r>
        <w:rPr>
          <w:rFonts w:hint="default" w:ascii="Times New Roman" w:hAnsi="Times New Roman" w:eastAsia="仿宋_GB2312" w:cs="Times New Roman"/>
          <w:color w:val="000000"/>
          <w:kern w:val="0"/>
          <w:sz w:val="32"/>
          <w:szCs w:val="32"/>
          <w:u w:val="none" w:color="auto"/>
          <w:lang w:val="en-US" w:eastAsia="zh-CN"/>
        </w:rPr>
        <w:t>和</w:t>
      </w:r>
      <w:r>
        <w:rPr>
          <w:rFonts w:hint="default" w:ascii="Times New Roman" w:hAnsi="Times New Roman" w:eastAsia="仿宋_GB2312" w:cs="Times New Roman"/>
          <w:color w:val="000000"/>
          <w:kern w:val="0"/>
          <w:sz w:val="32"/>
          <w:szCs w:val="32"/>
          <w:u w:val="none" w:color="auto"/>
        </w:rPr>
        <w:t>市直公立医院财务审计费未全额执行。</w:t>
      </w:r>
    </w:p>
    <w:p w14:paraId="734E9252">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3．公共卫生（款）基本公共卫生服务（项）。年初预算</w:t>
      </w:r>
      <w:r>
        <w:rPr>
          <w:rFonts w:hint="default" w:ascii="Times New Roman" w:hAnsi="Times New Roman" w:eastAsia="仿宋_GB2312" w:cs="Times New Roman"/>
          <w:color w:val="000000"/>
          <w:kern w:val="0"/>
          <w:sz w:val="32"/>
          <w:szCs w:val="32"/>
          <w:u w:val="none" w:color="auto"/>
          <w:lang w:val="en-US" w:eastAsia="zh-CN"/>
        </w:rPr>
        <w:t>11.00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5.00</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45.45</w:t>
      </w:r>
      <w:r>
        <w:rPr>
          <w:rFonts w:hint="default" w:ascii="Times New Roman" w:hAnsi="Times New Roman" w:eastAsia="仿宋_GB2312" w:cs="Times New Roman"/>
          <w:color w:val="000000"/>
          <w:kern w:val="0"/>
          <w:sz w:val="32"/>
          <w:szCs w:val="32"/>
          <w:u w:val="none" w:color="auto"/>
        </w:rPr>
        <w:t>%。决算数与年初预算数的差异原因：</w:t>
      </w:r>
      <w:r>
        <w:rPr>
          <w:rFonts w:hint="default" w:ascii="Times New Roman" w:hAnsi="Times New Roman" w:eastAsia="仿宋_GB2312" w:cs="Times New Roman"/>
          <w:color w:val="000000"/>
          <w:kern w:val="0"/>
          <w:sz w:val="32"/>
          <w:szCs w:val="32"/>
          <w:u w:val="none" w:color="auto"/>
          <w:lang w:val="en-US" w:eastAsia="zh-CN"/>
        </w:rPr>
        <w:t>本年度结转中央</w:t>
      </w:r>
      <w:r>
        <w:rPr>
          <w:rFonts w:hint="default" w:ascii="Times New Roman" w:hAnsi="Times New Roman" w:eastAsia="仿宋_GB2312" w:cs="Times New Roman"/>
          <w:color w:val="000000"/>
          <w:kern w:val="0"/>
          <w:sz w:val="32"/>
          <w:szCs w:val="32"/>
          <w:u w:val="none" w:color="auto"/>
        </w:rPr>
        <w:t>基本公共卫生服务补助资金</w:t>
      </w:r>
      <w:r>
        <w:rPr>
          <w:rFonts w:hint="default" w:ascii="Times New Roman" w:hAnsi="Times New Roman" w:eastAsia="仿宋_GB2312" w:cs="Times New Roman"/>
          <w:color w:val="000000"/>
          <w:kern w:val="0"/>
          <w:sz w:val="32"/>
          <w:szCs w:val="32"/>
          <w:u w:val="none" w:color="auto"/>
          <w:lang w:val="en-US" w:eastAsia="zh-CN"/>
        </w:rPr>
        <w:t>11</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截止年末实际支出5万元</w:t>
      </w:r>
      <w:r>
        <w:rPr>
          <w:rFonts w:hint="default" w:ascii="Times New Roman" w:hAnsi="Times New Roman" w:eastAsia="仿宋_GB2312" w:cs="Times New Roman"/>
          <w:color w:val="000000"/>
          <w:kern w:val="0"/>
          <w:sz w:val="32"/>
          <w:szCs w:val="32"/>
          <w:u w:val="none" w:color="auto"/>
        </w:rPr>
        <w:t>。</w:t>
      </w:r>
    </w:p>
    <w:p w14:paraId="209212DA">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4．公共卫生（款）重大公共卫生服务（项）。年初预算</w:t>
      </w:r>
      <w:r>
        <w:rPr>
          <w:rFonts w:hint="default" w:ascii="Times New Roman" w:hAnsi="Times New Roman" w:eastAsia="仿宋_GB2312" w:cs="Times New Roman"/>
          <w:color w:val="000000"/>
          <w:kern w:val="0"/>
          <w:sz w:val="32"/>
          <w:szCs w:val="32"/>
          <w:u w:val="none" w:color="auto"/>
          <w:lang w:val="en-US" w:eastAsia="zh-CN"/>
        </w:rPr>
        <w:t>20.00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17.73</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88.65</w:t>
      </w:r>
      <w:r>
        <w:rPr>
          <w:rFonts w:hint="default" w:ascii="Times New Roman" w:hAnsi="Times New Roman" w:eastAsia="仿宋_GB2312" w:cs="Times New Roman"/>
          <w:color w:val="000000"/>
          <w:kern w:val="0"/>
          <w:sz w:val="32"/>
          <w:szCs w:val="32"/>
          <w:u w:val="none" w:color="auto"/>
        </w:rPr>
        <w:t>%。决算数与年初预算数的差异原因：重大传染病防控市级补助资金年初预算</w:t>
      </w:r>
      <w:r>
        <w:rPr>
          <w:rFonts w:hint="default" w:ascii="Times New Roman" w:hAnsi="Times New Roman" w:eastAsia="仿宋_GB2312" w:cs="Times New Roman"/>
          <w:color w:val="000000"/>
          <w:kern w:val="0"/>
          <w:sz w:val="32"/>
          <w:szCs w:val="32"/>
          <w:u w:val="none" w:color="auto"/>
          <w:lang w:val="en-US" w:eastAsia="zh-CN"/>
        </w:rPr>
        <w:t>20</w:t>
      </w:r>
      <w:r>
        <w:rPr>
          <w:rFonts w:hint="default" w:ascii="Times New Roman" w:hAnsi="Times New Roman" w:eastAsia="仿宋_GB2312" w:cs="Times New Roman"/>
          <w:color w:val="000000"/>
          <w:kern w:val="0"/>
          <w:sz w:val="32"/>
          <w:szCs w:val="32"/>
          <w:u w:val="none" w:color="auto"/>
        </w:rPr>
        <w:t>万元，完成支出</w:t>
      </w:r>
      <w:r>
        <w:rPr>
          <w:rFonts w:hint="default" w:ascii="Times New Roman" w:hAnsi="Times New Roman" w:eastAsia="仿宋_GB2312" w:cs="Times New Roman"/>
          <w:color w:val="000000"/>
          <w:kern w:val="0"/>
          <w:sz w:val="32"/>
          <w:szCs w:val="32"/>
          <w:u w:val="none" w:color="auto"/>
          <w:lang w:val="en-US" w:eastAsia="zh-CN"/>
        </w:rPr>
        <w:t>17.73万元</w:t>
      </w:r>
      <w:r>
        <w:rPr>
          <w:rFonts w:hint="default" w:ascii="Times New Roman" w:hAnsi="Times New Roman" w:eastAsia="仿宋_GB2312" w:cs="Times New Roman"/>
          <w:color w:val="000000"/>
          <w:kern w:val="0"/>
          <w:sz w:val="32"/>
          <w:szCs w:val="32"/>
          <w:u w:val="none" w:color="auto"/>
        </w:rPr>
        <w:t>。</w:t>
      </w:r>
    </w:p>
    <w:p w14:paraId="086061A6">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5．公共卫生（款）突发公共卫生事件应急处理（项）。年初预算</w:t>
      </w:r>
      <w:r>
        <w:rPr>
          <w:rFonts w:hint="default" w:ascii="Times New Roman" w:hAnsi="Times New Roman" w:eastAsia="仿宋_GB2312"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200</w:t>
      </w:r>
      <w:r>
        <w:rPr>
          <w:rFonts w:hint="default" w:ascii="Times New Roman" w:hAnsi="Times New Roman" w:eastAsia="仿宋_GB2312" w:cs="Times New Roman"/>
          <w:color w:val="000000"/>
          <w:kern w:val="0"/>
          <w:sz w:val="32"/>
          <w:szCs w:val="32"/>
          <w:u w:val="none" w:color="auto"/>
        </w:rPr>
        <w:t>.60万元，完成年初预算的</w:t>
      </w:r>
      <w:r>
        <w:rPr>
          <w:rFonts w:hint="default" w:ascii="Times New Roman" w:hAnsi="Times New Roman" w:eastAsia="仿宋_GB2312" w:cs="Times New Roman"/>
          <w:color w:val="000000"/>
          <w:kern w:val="0"/>
          <w:sz w:val="32"/>
          <w:szCs w:val="32"/>
          <w:u w:val="none" w:color="auto"/>
          <w:lang w:val="en-US" w:eastAsia="zh-CN"/>
        </w:rPr>
        <w:t>100.00</w:t>
      </w:r>
      <w:r>
        <w:rPr>
          <w:rFonts w:hint="default" w:ascii="Times New Roman" w:hAnsi="Times New Roman" w:eastAsia="仿宋_GB2312" w:cs="Times New Roman"/>
          <w:color w:val="000000"/>
          <w:kern w:val="0"/>
          <w:sz w:val="32"/>
          <w:szCs w:val="32"/>
          <w:u w:val="none" w:color="auto"/>
        </w:rPr>
        <w:t>%。决算数与年初预算数的差异原因：本年度</w:t>
      </w:r>
      <w:r>
        <w:rPr>
          <w:rFonts w:hint="default" w:ascii="Times New Roman" w:hAnsi="Times New Roman" w:eastAsia="仿宋_GB2312" w:cs="Times New Roman"/>
          <w:color w:val="000000"/>
          <w:kern w:val="0"/>
          <w:sz w:val="32"/>
          <w:szCs w:val="32"/>
          <w:u w:val="none" w:color="auto"/>
          <w:lang w:val="en-US" w:eastAsia="zh-CN"/>
        </w:rPr>
        <w:t>追加新冠疫情防控期间相关补助经费200</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全部支出</w:t>
      </w:r>
      <w:r>
        <w:rPr>
          <w:rFonts w:hint="default" w:ascii="Times New Roman" w:hAnsi="Times New Roman" w:eastAsia="仿宋_GB2312" w:cs="Times New Roman"/>
          <w:color w:val="000000"/>
          <w:kern w:val="0"/>
          <w:sz w:val="32"/>
          <w:szCs w:val="32"/>
          <w:u w:val="none" w:color="auto"/>
        </w:rPr>
        <w:t>。</w:t>
      </w:r>
    </w:p>
    <w:p w14:paraId="7A936BD1">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6．公共卫生（款）其他公共卫生支出（项）。年初预算</w:t>
      </w:r>
      <w:r>
        <w:rPr>
          <w:rFonts w:hint="default" w:ascii="Times New Roman" w:hAnsi="Times New Roman" w:eastAsia="仿宋_GB2312" w:cs="Times New Roman"/>
          <w:color w:val="000000"/>
          <w:kern w:val="0"/>
          <w:sz w:val="32"/>
          <w:szCs w:val="32"/>
          <w:u w:val="none" w:color="auto"/>
          <w:lang w:val="en-US" w:eastAsia="zh-CN"/>
        </w:rPr>
        <w:t>2,452</w:t>
      </w:r>
      <w:r>
        <w:rPr>
          <w:rFonts w:hint="default" w:ascii="Times New Roman" w:hAnsi="Times New Roman" w:eastAsia="仿宋_GB2312" w:cs="Times New Roman"/>
          <w:color w:val="000000"/>
          <w:kern w:val="0"/>
          <w:sz w:val="32"/>
          <w:szCs w:val="32"/>
          <w:u w:val="none" w:color="auto"/>
        </w:rPr>
        <w:t>.00万元，支出决算</w:t>
      </w:r>
      <w:r>
        <w:rPr>
          <w:rFonts w:hint="default" w:ascii="Times New Roman" w:hAnsi="Times New Roman" w:eastAsia="仿宋_GB2312" w:cs="Times New Roman"/>
          <w:color w:val="000000"/>
          <w:kern w:val="0"/>
          <w:sz w:val="32"/>
          <w:szCs w:val="32"/>
          <w:u w:val="none" w:color="auto"/>
          <w:lang w:val="en-US" w:eastAsia="zh-CN"/>
        </w:rPr>
        <w:t>6.57</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0.27</w:t>
      </w:r>
      <w:r>
        <w:rPr>
          <w:rFonts w:hint="default" w:ascii="Times New Roman" w:hAnsi="Times New Roman" w:eastAsia="仿宋_GB2312" w:cs="Times New Roman"/>
          <w:color w:val="000000"/>
          <w:kern w:val="0"/>
          <w:sz w:val="32"/>
          <w:szCs w:val="32"/>
          <w:u w:val="none" w:color="auto"/>
        </w:rPr>
        <w:t>%。决算数与年初预算数的差异原因：一是年初预算包括部门代编的无创产前基因、新生儿遗传代谢病和新生儿耳聋基因免费检测经费</w:t>
      </w:r>
      <w:r>
        <w:rPr>
          <w:rFonts w:hint="default" w:ascii="Times New Roman" w:hAnsi="Times New Roman" w:eastAsia="仿宋_GB2312" w:cs="Times New Roman"/>
          <w:color w:val="000000"/>
          <w:kern w:val="0"/>
          <w:sz w:val="32"/>
          <w:szCs w:val="32"/>
          <w:u w:val="none" w:color="auto"/>
          <w:lang w:val="en-US" w:eastAsia="zh-CN"/>
        </w:rPr>
        <w:t>1,925</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、0至6岁先天性心脏病筛查财政补助资金</w:t>
      </w:r>
      <w:r>
        <w:rPr>
          <w:rFonts w:hint="default" w:ascii="Times New Roman" w:hAnsi="Times New Roman" w:eastAsia="仿宋_GB2312" w:cs="Times New Roman"/>
          <w:color w:val="000000"/>
          <w:kern w:val="0"/>
          <w:sz w:val="32"/>
          <w:szCs w:val="32"/>
          <w:u w:val="none" w:color="auto"/>
          <w:lang w:val="en-US" w:eastAsia="zh-CN"/>
        </w:rPr>
        <w:t>20万元和妇幼健康服务能力建设专项经费500万元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分配至市直相关单位执行；</w:t>
      </w:r>
      <w:r>
        <w:rPr>
          <w:rFonts w:hint="default" w:ascii="Times New Roman" w:hAnsi="Times New Roman" w:eastAsia="仿宋_GB2312" w:cs="Times New Roman"/>
          <w:color w:val="000000"/>
          <w:kern w:val="0"/>
          <w:sz w:val="32"/>
          <w:szCs w:val="32"/>
          <w:u w:val="none" w:color="auto"/>
        </w:rPr>
        <w:t>二是本年度</w:t>
      </w:r>
      <w:r>
        <w:rPr>
          <w:rFonts w:hint="default" w:ascii="Times New Roman" w:hAnsi="Times New Roman" w:eastAsia="仿宋_GB2312" w:cs="Times New Roman"/>
          <w:color w:val="000000"/>
          <w:kern w:val="0"/>
          <w:sz w:val="32"/>
          <w:szCs w:val="32"/>
          <w:u w:val="none" w:color="auto"/>
          <w:lang w:val="en-US" w:eastAsia="zh-CN"/>
        </w:rPr>
        <w:t>结转的中央医疗服务与保障能力提升(医疗卫生机构能力建设、卫生健康人才培养)补助资金7</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实际完成支出6.57万元</w:t>
      </w:r>
      <w:r>
        <w:rPr>
          <w:rFonts w:hint="default" w:ascii="Times New Roman" w:hAnsi="Times New Roman" w:eastAsia="仿宋_GB2312" w:cs="Times New Roman"/>
          <w:color w:val="000000"/>
          <w:kern w:val="0"/>
          <w:sz w:val="32"/>
          <w:szCs w:val="32"/>
          <w:u w:val="none" w:color="auto"/>
        </w:rPr>
        <w:t>。</w:t>
      </w:r>
    </w:p>
    <w:p w14:paraId="0EFCE616">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7．计划生育事务（款）其他计划生育事务支出（项）。年初预算</w:t>
      </w:r>
      <w:r>
        <w:rPr>
          <w:rFonts w:hint="default" w:ascii="Times New Roman" w:hAnsi="Times New Roman" w:eastAsia="仿宋_GB2312" w:cs="Times New Roman"/>
          <w:color w:val="000000"/>
          <w:kern w:val="0"/>
          <w:sz w:val="32"/>
          <w:szCs w:val="32"/>
          <w:u w:val="none" w:color="auto"/>
          <w:lang w:val="en-US" w:eastAsia="zh-CN"/>
        </w:rPr>
        <w:t>2,909.83</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117.59</w:t>
      </w:r>
      <w:r>
        <w:rPr>
          <w:rFonts w:hint="default" w:ascii="Times New Roman" w:hAnsi="Times New Roman" w:eastAsia="仿宋_GB2312" w:cs="Times New Roman"/>
          <w:color w:val="000000"/>
          <w:kern w:val="0"/>
          <w:sz w:val="32"/>
          <w:szCs w:val="32"/>
          <w:u w:val="none" w:color="auto"/>
        </w:rPr>
        <w:t>万元，完成年初预算的50.77%。决算数与年初预算数的差异原因：一是年初预算中包括部门代编预算</w:t>
      </w:r>
      <w:r>
        <w:rPr>
          <w:rFonts w:hint="default" w:ascii="Times New Roman" w:hAnsi="Times New Roman" w:eastAsia="仿宋_GB2312" w:cs="Times New Roman"/>
          <w:color w:val="000000"/>
          <w:kern w:val="0"/>
          <w:sz w:val="32"/>
          <w:szCs w:val="32"/>
          <w:u w:val="none" w:color="auto"/>
          <w:lang w:val="en-US" w:eastAsia="zh-CN"/>
        </w:rPr>
        <w:t>的优化生育政策促进人口长期发展惠民政策财政补助2,800</w:t>
      </w:r>
      <w:r>
        <w:rPr>
          <w:rFonts w:hint="default" w:ascii="Times New Roman" w:hAnsi="Times New Roman" w:eastAsia="仿宋_GB2312" w:cs="Times New Roman"/>
          <w:color w:val="000000"/>
          <w:kern w:val="0"/>
          <w:sz w:val="32"/>
          <w:szCs w:val="32"/>
          <w:u w:val="none" w:color="auto"/>
        </w:rPr>
        <w:t>万元；二是</w:t>
      </w:r>
      <w:r>
        <w:rPr>
          <w:rFonts w:hint="default" w:ascii="Times New Roman" w:hAnsi="Times New Roman" w:eastAsia="仿宋_GB2312" w:cs="Times New Roman"/>
          <w:color w:val="000000"/>
          <w:kern w:val="0"/>
          <w:sz w:val="32"/>
          <w:szCs w:val="32"/>
          <w:u w:val="none" w:color="auto"/>
          <w:lang w:val="en-US" w:eastAsia="zh-CN"/>
        </w:rPr>
        <w:t>本年度结转的自治区计划生育事业费50</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val="en-US" w:eastAsia="zh-CN"/>
        </w:rPr>
        <w:t>调整预算至市妇幼保健院执行，三是本年度结转至本单位的自治区计划生育事业费59.83万元，</w:t>
      </w:r>
      <w:r>
        <w:rPr>
          <w:rFonts w:hint="default" w:ascii="Times New Roman" w:hAnsi="Times New Roman" w:eastAsia="仿宋_GB2312" w:cs="Times New Roman"/>
          <w:color w:val="000000"/>
          <w:kern w:val="0"/>
          <w:sz w:val="32"/>
          <w:szCs w:val="32"/>
          <w:u w:val="none" w:color="auto"/>
        </w:rPr>
        <w:t>实际支出</w:t>
      </w:r>
      <w:r>
        <w:rPr>
          <w:rFonts w:hint="default" w:ascii="Times New Roman" w:hAnsi="Times New Roman" w:eastAsia="仿宋_GB2312" w:cs="Times New Roman"/>
          <w:color w:val="000000"/>
          <w:kern w:val="0"/>
          <w:sz w:val="32"/>
          <w:szCs w:val="32"/>
          <w:u w:val="none" w:color="auto"/>
          <w:lang w:val="en-US" w:eastAsia="zh-CN"/>
        </w:rPr>
        <w:t>46.77</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四是本年度追加下达市级计划生育事业费78万元，实际支出70.82万元</w:t>
      </w:r>
      <w:r>
        <w:rPr>
          <w:rFonts w:hint="default" w:ascii="Times New Roman" w:hAnsi="Times New Roman" w:eastAsia="仿宋_GB2312" w:cs="Times New Roman"/>
          <w:color w:val="000000"/>
          <w:kern w:val="0"/>
          <w:sz w:val="32"/>
          <w:szCs w:val="32"/>
          <w:u w:val="none" w:color="auto"/>
        </w:rPr>
        <w:t>。</w:t>
      </w:r>
    </w:p>
    <w:p w14:paraId="5143E478">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lang w:val="en-US" w:eastAsia="zh-CN"/>
        </w:rPr>
        <w:t>8</w:t>
      </w:r>
      <w:r>
        <w:rPr>
          <w:rFonts w:hint="default" w:ascii="Times New Roman" w:hAnsi="Times New Roman" w:eastAsia="仿宋_GB2312" w:cs="Times New Roman"/>
          <w:color w:val="000000"/>
          <w:kern w:val="0"/>
          <w:sz w:val="32"/>
          <w:szCs w:val="32"/>
          <w:u w:val="none" w:color="auto"/>
        </w:rPr>
        <w:t>．行政事业单位医疗（款）行政单位医疗（项）。年初预算</w:t>
      </w:r>
      <w:r>
        <w:rPr>
          <w:rFonts w:hint="default" w:ascii="Times New Roman" w:hAnsi="Times New Roman" w:eastAsia="仿宋_GB2312" w:cs="Times New Roman"/>
          <w:color w:val="000000"/>
          <w:kern w:val="0"/>
          <w:sz w:val="32"/>
          <w:szCs w:val="32"/>
          <w:u w:val="none" w:color="auto"/>
          <w:lang w:val="en-US" w:eastAsia="zh-CN"/>
        </w:rPr>
        <w:t>62.94</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62.30</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98.98</w:t>
      </w:r>
      <w:r>
        <w:rPr>
          <w:rFonts w:hint="default" w:ascii="Times New Roman" w:hAnsi="Times New Roman" w:eastAsia="仿宋_GB2312" w:cs="Times New Roman"/>
          <w:color w:val="000000"/>
          <w:kern w:val="0"/>
          <w:sz w:val="32"/>
          <w:szCs w:val="32"/>
          <w:u w:val="none" w:color="auto"/>
        </w:rPr>
        <w:t>%。决算数与年初预算数的差异原因：人员调整及医保基数变动引起的预决算差异。</w:t>
      </w:r>
    </w:p>
    <w:p w14:paraId="05B5088D">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9．中医药</w:t>
      </w:r>
      <w:r>
        <w:rPr>
          <w:rFonts w:hint="default" w:ascii="Times New Roman" w:hAnsi="Times New Roman" w:eastAsia="仿宋_GB2312" w:cs="Times New Roman"/>
          <w:color w:val="000000"/>
          <w:kern w:val="0"/>
          <w:sz w:val="32"/>
          <w:szCs w:val="32"/>
          <w:u w:val="none" w:color="auto"/>
          <w:lang w:val="en-US" w:eastAsia="zh-CN"/>
        </w:rPr>
        <w:t>事务</w:t>
      </w:r>
      <w:r>
        <w:rPr>
          <w:rFonts w:hint="default" w:ascii="Times New Roman" w:hAnsi="Times New Roman" w:eastAsia="仿宋_GB2312" w:cs="Times New Roman"/>
          <w:color w:val="000000"/>
          <w:kern w:val="0"/>
          <w:sz w:val="32"/>
          <w:szCs w:val="32"/>
          <w:u w:val="none" w:color="auto"/>
        </w:rPr>
        <w:t>（款）中医（民族医）药专项（项）。年初预算</w:t>
      </w:r>
      <w:r>
        <w:rPr>
          <w:rFonts w:hint="default" w:ascii="Times New Roman" w:hAnsi="Times New Roman" w:eastAsia="仿宋_GB2312" w:cs="Times New Roman"/>
          <w:color w:val="000000"/>
          <w:kern w:val="0"/>
          <w:sz w:val="32"/>
          <w:szCs w:val="32"/>
          <w:u w:val="none" w:color="auto"/>
          <w:lang w:val="en-US" w:eastAsia="zh-CN"/>
        </w:rPr>
        <w:t>5.00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167.64</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3,352.80</w:t>
      </w:r>
      <w:r>
        <w:rPr>
          <w:rFonts w:hint="default" w:ascii="Times New Roman" w:hAnsi="Times New Roman" w:eastAsia="仿宋_GB2312" w:cs="Times New Roman"/>
          <w:color w:val="000000"/>
          <w:kern w:val="0"/>
          <w:sz w:val="32"/>
          <w:szCs w:val="32"/>
          <w:u w:val="none" w:color="auto"/>
        </w:rPr>
        <w:t>%。决算数与年初预算数的差异原因：一是年初预算</w:t>
      </w:r>
      <w:r>
        <w:rPr>
          <w:rFonts w:hint="default" w:ascii="Times New Roman" w:hAnsi="Times New Roman" w:eastAsia="仿宋_GB2312" w:cs="Times New Roman"/>
          <w:color w:val="000000"/>
          <w:kern w:val="0"/>
          <w:sz w:val="32"/>
          <w:szCs w:val="32"/>
          <w:u w:val="none" w:color="auto"/>
          <w:lang w:val="en-US" w:eastAsia="zh-CN"/>
        </w:rPr>
        <w:t>为中央医疗服务能力提升（中医药传承与发展部分）补助资金5</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全部支出</w:t>
      </w:r>
      <w:r>
        <w:rPr>
          <w:rFonts w:hint="default" w:ascii="Times New Roman" w:hAnsi="Times New Roman" w:eastAsia="仿宋_GB2312" w:cs="Times New Roman"/>
          <w:color w:val="000000"/>
          <w:kern w:val="0"/>
          <w:sz w:val="32"/>
          <w:szCs w:val="32"/>
          <w:u w:val="none" w:color="auto"/>
        </w:rPr>
        <w:t>；二是本年度</w:t>
      </w:r>
      <w:r>
        <w:rPr>
          <w:rFonts w:hint="default" w:ascii="Times New Roman" w:hAnsi="Times New Roman" w:eastAsia="仿宋_GB2312" w:cs="Times New Roman"/>
          <w:color w:val="000000"/>
          <w:kern w:val="0"/>
          <w:sz w:val="32"/>
          <w:szCs w:val="32"/>
          <w:u w:val="none" w:color="auto"/>
          <w:lang w:val="en-US" w:eastAsia="zh-CN"/>
        </w:rPr>
        <w:t>追加中医药（蒙医药）发展专项经费164.22</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实际支出162.64万元</w:t>
      </w:r>
      <w:r>
        <w:rPr>
          <w:rFonts w:hint="default" w:ascii="Times New Roman" w:hAnsi="Times New Roman" w:eastAsia="仿宋_GB2312" w:cs="Times New Roman"/>
          <w:color w:val="000000"/>
          <w:kern w:val="0"/>
          <w:sz w:val="32"/>
          <w:szCs w:val="32"/>
          <w:u w:val="none" w:color="auto"/>
        </w:rPr>
        <w:t>。</w:t>
      </w:r>
    </w:p>
    <w:p w14:paraId="3565D1E5">
      <w:pPr>
        <w:widowControl/>
        <w:spacing w:before="240" w:after="240"/>
        <w:ind w:firstLine="640" w:firstLineChars="200"/>
        <w:jc w:val="left"/>
        <w:rPr>
          <w:rFonts w:hint="default" w:ascii="Times New Roman" w:hAnsi="Times New Roman" w:eastAsia="宋体" w:cs="Times New Roman"/>
          <w:b/>
          <w:bCs/>
          <w:color w:val="000000"/>
          <w:kern w:val="0"/>
          <w:sz w:val="32"/>
          <w:szCs w:val="32"/>
          <w:u w:val="none" w:color="auto"/>
          <w:lang w:val="en-US" w:eastAsia="zh-CN"/>
        </w:rPr>
      </w:pPr>
      <w:r>
        <w:rPr>
          <w:rFonts w:hint="default" w:ascii="Times New Roman" w:hAnsi="Times New Roman" w:eastAsia="kai_ti_gb2312" w:cs="Times New Roman"/>
          <w:b/>
          <w:bCs/>
          <w:color w:val="000000"/>
          <w:kern w:val="0"/>
          <w:sz w:val="32"/>
          <w:szCs w:val="32"/>
          <w:u w:val="none" w:color="auto"/>
        </w:rPr>
        <w:t>（五）资源勘探工业信息等支出</w:t>
      </w:r>
      <w:r>
        <w:rPr>
          <w:rFonts w:hint="default" w:ascii="Times New Roman" w:hAnsi="Times New Roman" w:eastAsia="宋体" w:cs="Times New Roman"/>
          <w:b/>
          <w:bCs/>
          <w:color w:val="000000"/>
          <w:kern w:val="0"/>
          <w:sz w:val="32"/>
          <w:szCs w:val="32"/>
          <w:u w:val="none" w:color="auto"/>
          <w:lang w:eastAsia="zh-CN"/>
        </w:rPr>
        <w:t>（</w:t>
      </w:r>
      <w:r>
        <w:rPr>
          <w:rFonts w:hint="default" w:ascii="Times New Roman" w:hAnsi="Times New Roman" w:eastAsia="宋体" w:cs="Times New Roman"/>
          <w:b/>
          <w:bCs/>
          <w:color w:val="000000"/>
          <w:kern w:val="0"/>
          <w:sz w:val="32"/>
          <w:szCs w:val="32"/>
          <w:u w:val="none" w:color="auto"/>
          <w:lang w:val="en-US" w:eastAsia="zh-CN"/>
        </w:rPr>
        <w:t>类）</w:t>
      </w:r>
    </w:p>
    <w:p w14:paraId="705D1C35">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资源勘探工业信息等支出（类）决算数为</w:t>
      </w:r>
      <w:r>
        <w:rPr>
          <w:rFonts w:hint="default" w:ascii="Times New Roman" w:hAnsi="Times New Roman" w:eastAsia="宋体" w:cs="Times New Roman"/>
          <w:color w:val="000000"/>
          <w:kern w:val="0"/>
          <w:sz w:val="32"/>
          <w:szCs w:val="32"/>
          <w:u w:val="none" w:color="auto"/>
          <w:lang w:val="en-US" w:eastAsia="zh-CN"/>
        </w:rPr>
        <w:t>2,047.10</w:t>
      </w:r>
      <w:r>
        <w:rPr>
          <w:rFonts w:hint="default" w:ascii="Times New Roman" w:hAnsi="Times New Roman" w:eastAsia="仿宋_GB2312" w:cs="Times New Roman"/>
          <w:color w:val="000000"/>
          <w:kern w:val="0"/>
          <w:sz w:val="32"/>
          <w:szCs w:val="32"/>
          <w:u w:val="none" w:color="auto"/>
        </w:rPr>
        <w:t>万元，与年初预算相比</w:t>
      </w:r>
      <w:r>
        <w:rPr>
          <w:rFonts w:hint="default" w:ascii="Times New Roman" w:hAnsi="Times New Roman" w:eastAsia="仿宋_GB2312" w:cs="Times New Roman"/>
          <w:color w:val="000000"/>
          <w:kern w:val="0"/>
          <w:sz w:val="32"/>
          <w:szCs w:val="32"/>
          <w:u w:val="none" w:color="auto"/>
          <w:lang w:val="en-US" w:eastAsia="zh-CN"/>
        </w:rPr>
        <w:t>增加1,747.10</w:t>
      </w:r>
      <w:r>
        <w:rPr>
          <w:rFonts w:hint="default" w:ascii="Times New Roman" w:hAnsi="Times New Roman" w:eastAsia="仿宋_GB2312" w:cs="Times New Roman"/>
          <w:color w:val="000000"/>
          <w:kern w:val="0"/>
          <w:sz w:val="32"/>
          <w:szCs w:val="32"/>
          <w:u w:val="none" w:color="auto"/>
        </w:rPr>
        <w:t>万元。其中：</w:t>
      </w:r>
    </w:p>
    <w:p w14:paraId="78900840">
      <w:pPr>
        <w:widowControl/>
        <w:spacing w:before="240" w:after="240"/>
        <w:ind w:firstLine="640" w:firstLineChars="200"/>
        <w:rPr>
          <w:rFonts w:hint="default" w:ascii="Times New Roman" w:hAnsi="Times New Roman" w:eastAsia="仿宋_GB2312" w:cs="Times New Roman"/>
          <w:color w:val="000000"/>
          <w:kern w:val="0"/>
          <w:sz w:val="32"/>
          <w:szCs w:val="32"/>
          <w:u w:val="none" w:color="auto"/>
          <w:lang w:val="en-US" w:eastAsia="zh-CN"/>
        </w:rPr>
      </w:pPr>
      <w:r>
        <w:rPr>
          <w:rFonts w:hint="default" w:ascii="Times New Roman" w:hAnsi="Times New Roman" w:eastAsia="仿宋_GB2312" w:cs="Times New Roman"/>
          <w:color w:val="000000"/>
          <w:kern w:val="0"/>
          <w:sz w:val="32"/>
          <w:szCs w:val="32"/>
          <w:u w:val="none" w:color="auto"/>
          <w:lang w:val="en-US" w:eastAsia="zh-CN"/>
        </w:rPr>
        <w:t>1.</w:t>
      </w:r>
      <w:r>
        <w:rPr>
          <w:rFonts w:hint="default" w:ascii="Times New Roman" w:hAnsi="Times New Roman" w:eastAsia="仿宋_GB2312" w:cs="Times New Roman"/>
          <w:color w:val="000000"/>
          <w:kern w:val="0"/>
          <w:sz w:val="32"/>
          <w:szCs w:val="32"/>
          <w:u w:val="none" w:color="auto"/>
        </w:rPr>
        <w:t>工业和信息产业监管（</w:t>
      </w:r>
      <w:r>
        <w:rPr>
          <w:rFonts w:hint="default" w:ascii="Times New Roman" w:hAnsi="Times New Roman" w:eastAsia="仿宋_GB2312" w:cs="Times New Roman"/>
          <w:color w:val="000000"/>
          <w:kern w:val="0"/>
          <w:sz w:val="32"/>
          <w:szCs w:val="32"/>
          <w:u w:val="none" w:color="auto"/>
          <w:lang w:val="en-US" w:eastAsia="zh-CN"/>
        </w:rPr>
        <w:t>款</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u w:val="none" w:color="auto"/>
          <w:lang w:val="en-US" w:eastAsia="zh-CN"/>
        </w:rPr>
        <w:t>产业发展</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u w:val="none" w:color="auto"/>
          <w:lang w:val="en-US" w:eastAsia="zh-CN"/>
        </w:rPr>
        <w:t>项</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rPr>
        <w:t>年初预算</w:t>
      </w:r>
      <w:r>
        <w:rPr>
          <w:rFonts w:hint="default" w:ascii="Times New Roman" w:hAnsi="Times New Roman" w:eastAsia="仿宋_GB2312" w:cs="Times New Roman"/>
          <w:color w:val="000000"/>
          <w:kern w:val="0"/>
          <w:sz w:val="32"/>
          <w:szCs w:val="32"/>
          <w:u w:val="none" w:color="auto"/>
          <w:lang w:val="en-US" w:eastAsia="zh-CN"/>
        </w:rPr>
        <w:t>300.00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2,047.10</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682.37</w:t>
      </w:r>
      <w:r>
        <w:rPr>
          <w:rFonts w:hint="default" w:ascii="Times New Roman" w:hAnsi="Times New Roman" w:eastAsia="仿宋_GB2312" w:cs="Times New Roman"/>
          <w:color w:val="000000"/>
          <w:kern w:val="0"/>
          <w:sz w:val="32"/>
          <w:szCs w:val="32"/>
          <w:u w:val="none" w:color="auto"/>
        </w:rPr>
        <w:t>%。决算数与年初预算数的差异原因：</w:t>
      </w:r>
      <w:r>
        <w:rPr>
          <w:rFonts w:hint="default" w:ascii="Times New Roman" w:hAnsi="Times New Roman" w:eastAsia="仿宋_GB2312" w:cs="Times New Roman"/>
          <w:color w:val="000000"/>
          <w:kern w:val="0"/>
          <w:sz w:val="32"/>
          <w:szCs w:val="32"/>
          <w:u w:val="none" w:color="auto"/>
          <w:lang w:val="en-US" w:eastAsia="zh-CN"/>
        </w:rPr>
        <w:t>一是年初预算为结转的鄂尔多斯市慢病健康监测管理云平台项目首付款300万元，已全部支出；二是本年度追加鄂尔多斯市慢病健康监测管理云平台、鄂尔多斯市检验检查互认平台、鄂尔多斯市互联网医院综合服务管理平台三项信息化建设项目的验收款1,972.17万元，实际1,747.10万元。</w:t>
      </w:r>
    </w:p>
    <w:p w14:paraId="71473FC3">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宋体" w:cs="Times New Roman"/>
          <w:b/>
          <w:bCs/>
          <w:color w:val="000000"/>
          <w:kern w:val="0"/>
          <w:sz w:val="32"/>
          <w:szCs w:val="32"/>
          <w:u w:val="none" w:color="auto"/>
          <w:lang w:eastAsia="zh-CN"/>
        </w:rPr>
        <w:t>（</w:t>
      </w:r>
      <w:r>
        <w:rPr>
          <w:rFonts w:hint="default" w:ascii="Times New Roman" w:hAnsi="Times New Roman" w:eastAsia="宋体" w:cs="Times New Roman"/>
          <w:b/>
          <w:bCs/>
          <w:color w:val="000000"/>
          <w:kern w:val="0"/>
          <w:sz w:val="32"/>
          <w:szCs w:val="32"/>
          <w:u w:val="none" w:color="auto"/>
          <w:lang w:val="en-US" w:eastAsia="zh-CN"/>
        </w:rPr>
        <w:t>六）</w:t>
      </w:r>
      <w:r>
        <w:rPr>
          <w:rFonts w:hint="default" w:ascii="Times New Roman" w:hAnsi="Times New Roman" w:eastAsia="kai_ti_gb2312" w:cs="Times New Roman"/>
          <w:b/>
          <w:bCs/>
          <w:color w:val="000000"/>
          <w:kern w:val="0"/>
          <w:sz w:val="32"/>
          <w:szCs w:val="32"/>
          <w:u w:val="none" w:color="auto"/>
        </w:rPr>
        <w:t>住房保障支出（类）</w:t>
      </w:r>
    </w:p>
    <w:p w14:paraId="5DBBF462">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住房保障支出（类）决算数为</w:t>
      </w:r>
      <w:r>
        <w:rPr>
          <w:rFonts w:hint="default" w:ascii="Times New Roman" w:hAnsi="Times New Roman" w:eastAsia="times_new_roman" w:cs="Times New Roman"/>
          <w:color w:val="000000"/>
          <w:kern w:val="0"/>
          <w:sz w:val="32"/>
          <w:szCs w:val="32"/>
          <w:u w:val="none" w:color="auto"/>
        </w:rPr>
        <w:t>122.00</w:t>
      </w:r>
      <w:r>
        <w:rPr>
          <w:rFonts w:hint="default" w:ascii="Times New Roman" w:hAnsi="Times New Roman" w:eastAsia="仿宋_GB2312" w:cs="Times New Roman"/>
          <w:color w:val="000000"/>
          <w:kern w:val="0"/>
          <w:sz w:val="32"/>
          <w:szCs w:val="32"/>
          <w:u w:val="none" w:color="auto"/>
        </w:rPr>
        <w:t>万元，与年初预算相比减少</w:t>
      </w:r>
      <w:r>
        <w:rPr>
          <w:rFonts w:hint="default" w:ascii="Times New Roman" w:hAnsi="Times New Roman" w:eastAsia="times_new_roman" w:cs="Times New Roman"/>
          <w:color w:val="000000"/>
          <w:kern w:val="0"/>
          <w:sz w:val="32"/>
          <w:szCs w:val="32"/>
          <w:u w:val="none" w:color="auto"/>
        </w:rPr>
        <w:t>2.37</w:t>
      </w:r>
      <w:r>
        <w:rPr>
          <w:rFonts w:hint="default" w:ascii="Times New Roman" w:hAnsi="Times New Roman" w:eastAsia="仿宋_GB2312" w:cs="Times New Roman"/>
          <w:color w:val="000000"/>
          <w:kern w:val="0"/>
          <w:sz w:val="32"/>
          <w:szCs w:val="32"/>
          <w:u w:val="none" w:color="auto"/>
        </w:rPr>
        <w:t>万元。其中：</w:t>
      </w:r>
    </w:p>
    <w:p w14:paraId="4900C5AE">
      <w:pPr>
        <w:widowControl/>
        <w:spacing w:before="240" w:after="240"/>
        <w:ind w:firstLine="640" w:firstLineChars="200"/>
        <w:rPr>
          <w:rFonts w:hint="default" w:ascii="Times New Roman" w:hAnsi="Times New Roman" w:eastAsia="仿宋_GB2312" w:cs="Times New Roman"/>
          <w:color w:val="000000"/>
          <w:kern w:val="0"/>
          <w:sz w:val="32"/>
          <w:szCs w:val="32"/>
          <w:u w:val="none" w:color="auto"/>
        </w:rPr>
      </w:pPr>
      <w:r>
        <w:rPr>
          <w:rFonts w:hint="default" w:ascii="Times New Roman" w:hAnsi="Times New Roman" w:eastAsia="仿宋_GB2312" w:cs="Times New Roman"/>
          <w:color w:val="000000"/>
          <w:kern w:val="0"/>
          <w:sz w:val="32"/>
          <w:szCs w:val="32"/>
          <w:u w:val="none" w:color="auto"/>
        </w:rPr>
        <w:t>1．住房改革支出（款）住房公积金（项）。年初预算</w:t>
      </w:r>
      <w:r>
        <w:rPr>
          <w:rFonts w:hint="default" w:ascii="Times New Roman" w:hAnsi="Times New Roman" w:eastAsia="仿宋_GB2312" w:cs="Times New Roman"/>
          <w:color w:val="000000"/>
          <w:kern w:val="0"/>
          <w:sz w:val="32"/>
          <w:szCs w:val="32"/>
          <w:u w:val="none" w:color="auto"/>
          <w:lang w:val="en-US" w:eastAsia="zh-CN"/>
        </w:rPr>
        <w:t>124.37</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仿宋_GB2312" w:cs="Times New Roman"/>
          <w:color w:val="000000"/>
          <w:kern w:val="0"/>
          <w:sz w:val="32"/>
          <w:szCs w:val="32"/>
          <w:u w:val="none" w:color="auto"/>
          <w:lang w:val="en-US" w:eastAsia="zh-CN"/>
        </w:rPr>
        <w:t>122.00</w:t>
      </w:r>
      <w:r>
        <w:rPr>
          <w:rFonts w:hint="default" w:ascii="Times New Roman" w:hAnsi="Times New Roman" w:eastAsia="仿宋_GB2312" w:cs="Times New Roman"/>
          <w:color w:val="000000"/>
          <w:kern w:val="0"/>
          <w:sz w:val="32"/>
          <w:szCs w:val="32"/>
          <w:u w:val="none" w:color="auto"/>
        </w:rPr>
        <w:t>万元，完成年初预算的</w:t>
      </w:r>
      <w:r>
        <w:rPr>
          <w:rFonts w:hint="default" w:ascii="Times New Roman" w:hAnsi="Times New Roman" w:eastAsia="仿宋_GB2312" w:cs="Times New Roman"/>
          <w:color w:val="000000"/>
          <w:kern w:val="0"/>
          <w:sz w:val="32"/>
          <w:szCs w:val="32"/>
          <w:u w:val="none" w:color="auto"/>
          <w:lang w:val="en-US" w:eastAsia="zh-CN"/>
        </w:rPr>
        <w:t>98.09</w:t>
      </w:r>
      <w:r>
        <w:rPr>
          <w:rFonts w:hint="default" w:ascii="Times New Roman" w:hAnsi="Times New Roman" w:eastAsia="仿宋_GB2312" w:cs="Times New Roman"/>
          <w:color w:val="000000"/>
          <w:kern w:val="0"/>
          <w:sz w:val="32"/>
          <w:szCs w:val="32"/>
          <w:u w:val="none" w:color="auto"/>
        </w:rPr>
        <w:t>%。决算数与年初预算数的差异原因：</w:t>
      </w:r>
      <w:r>
        <w:rPr>
          <w:rFonts w:hint="default" w:ascii="Times New Roman" w:hAnsi="Times New Roman" w:eastAsia="仿宋_GB2312" w:cs="Times New Roman"/>
          <w:color w:val="000000"/>
          <w:kern w:val="0"/>
          <w:sz w:val="32"/>
          <w:szCs w:val="32"/>
          <w:u w:val="none" w:color="auto"/>
          <w:lang w:val="en-US" w:eastAsia="zh-CN"/>
        </w:rPr>
        <w:t>人员</w:t>
      </w:r>
      <w:r>
        <w:rPr>
          <w:rFonts w:hint="default" w:ascii="Times New Roman" w:hAnsi="Times New Roman" w:eastAsia="仿宋_GB2312" w:cs="Times New Roman"/>
          <w:color w:val="000000"/>
          <w:kern w:val="0"/>
          <w:sz w:val="32"/>
          <w:szCs w:val="32"/>
          <w:u w:val="none" w:color="auto"/>
        </w:rPr>
        <w:t>调整引起的少量差异。</w:t>
      </w:r>
    </w:p>
    <w:p w14:paraId="0AA324A3">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六、一般公共预算财政拨款基本支出决算情况说明</w:t>
      </w:r>
    </w:p>
    <w:p w14:paraId="302E4738">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仿宋_GB2312" w:cs="Times New Roman"/>
          <w:color w:val="000000"/>
          <w:kern w:val="0"/>
          <w:sz w:val="32"/>
          <w:szCs w:val="32"/>
          <w:u w:val="none" w:color="auto"/>
        </w:rPr>
        <w:t>2024年度一般公共预算财政拨款基本支出决算</w:t>
      </w:r>
      <w:r>
        <w:rPr>
          <w:rFonts w:hint="default" w:ascii="Times New Roman" w:hAnsi="Times New Roman" w:eastAsia="times_new_roman" w:cs="Times New Roman"/>
          <w:color w:val="000000"/>
          <w:kern w:val="0"/>
          <w:sz w:val="32"/>
          <w:szCs w:val="32"/>
          <w:u w:val="none" w:color="auto"/>
        </w:rPr>
        <w:t>1</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671.51</w:t>
      </w:r>
      <w:r>
        <w:rPr>
          <w:rFonts w:hint="default" w:ascii="Times New Roman" w:hAnsi="Times New Roman" w:eastAsia="仿宋_GB2312" w:cs="Times New Roman"/>
          <w:color w:val="000000"/>
          <w:kern w:val="0"/>
          <w:sz w:val="32"/>
          <w:szCs w:val="32"/>
          <w:u w:val="none" w:color="auto"/>
        </w:rPr>
        <w:t>万元，其中：</w:t>
      </w:r>
    </w:p>
    <w:p w14:paraId="1381CAC6">
      <w:pPr>
        <w:widowControl/>
        <w:spacing w:before="240" w:after="240"/>
        <w:ind w:firstLine="643"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color w:val="000000"/>
          <w:kern w:val="0"/>
          <w:sz w:val="32"/>
          <w:szCs w:val="32"/>
          <w:u w:val="none" w:color="auto"/>
        </w:rPr>
        <w:t>（一）人员经费</w:t>
      </w:r>
      <w:r>
        <w:rPr>
          <w:rFonts w:hint="default" w:ascii="Times New Roman" w:hAnsi="Times New Roman" w:eastAsia="times_new_roman" w:cs="Times New Roman"/>
          <w:color w:val="000000"/>
          <w:kern w:val="0"/>
          <w:sz w:val="32"/>
          <w:szCs w:val="32"/>
          <w:u w:val="none" w:color="auto"/>
        </w:rPr>
        <w:t>1</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_new_roman" w:cs="Times New Roman"/>
          <w:color w:val="000000"/>
          <w:kern w:val="0"/>
          <w:sz w:val="32"/>
          <w:szCs w:val="32"/>
          <w:u w:val="none" w:color="auto"/>
        </w:rPr>
        <w:t>522.36</w:t>
      </w:r>
      <w:r>
        <w:rPr>
          <w:rFonts w:hint="default" w:ascii="Times New Roman" w:hAnsi="Times New Roman" w:eastAsia="仿宋_GB2312" w:cs="Times New Roman"/>
          <w:b/>
          <w:bCs/>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rPr>
        <w:t>。主要包括：基本工资</w:t>
      </w:r>
      <w:r>
        <w:rPr>
          <w:rFonts w:hint="default" w:ascii="Times New Roman" w:hAnsi="Times New Roman" w:eastAsia="仿宋_GB2312" w:cs="Times New Roman"/>
          <w:color w:val="000000"/>
          <w:kern w:val="0"/>
          <w:sz w:val="32"/>
          <w:szCs w:val="32"/>
          <w:u w:val="none" w:color="auto"/>
          <w:lang w:val="en-US" w:eastAsia="zh-CN"/>
        </w:rPr>
        <w:t>363.71</w:t>
      </w:r>
      <w:r>
        <w:rPr>
          <w:rFonts w:hint="default" w:ascii="Times New Roman" w:hAnsi="Times New Roman" w:eastAsia="仿宋_GB2312" w:cs="Times New Roman"/>
          <w:color w:val="000000"/>
          <w:kern w:val="0"/>
          <w:sz w:val="32"/>
          <w:szCs w:val="32"/>
          <w:u w:val="none" w:color="auto"/>
        </w:rPr>
        <w:t>万元、津贴补贴</w:t>
      </w:r>
      <w:r>
        <w:rPr>
          <w:rFonts w:hint="default" w:ascii="Times New Roman" w:hAnsi="Times New Roman" w:eastAsia="仿宋_GB2312" w:cs="Times New Roman"/>
          <w:color w:val="000000"/>
          <w:kern w:val="0"/>
          <w:sz w:val="32"/>
          <w:szCs w:val="32"/>
          <w:u w:val="none" w:color="auto"/>
          <w:lang w:val="en-US" w:eastAsia="zh-CN"/>
        </w:rPr>
        <w:t>431.46</w:t>
      </w:r>
      <w:r>
        <w:rPr>
          <w:rFonts w:hint="default" w:ascii="Times New Roman" w:hAnsi="Times New Roman" w:eastAsia="仿宋_GB2312" w:cs="Times New Roman"/>
          <w:color w:val="000000"/>
          <w:kern w:val="0"/>
          <w:sz w:val="32"/>
          <w:szCs w:val="32"/>
          <w:u w:val="none" w:color="auto"/>
        </w:rPr>
        <w:t>万元、奖金</w:t>
      </w:r>
      <w:r>
        <w:rPr>
          <w:rFonts w:hint="default" w:ascii="Times New Roman" w:hAnsi="Times New Roman" w:eastAsia="仿宋_GB2312" w:cs="Times New Roman"/>
          <w:color w:val="000000"/>
          <w:kern w:val="0"/>
          <w:sz w:val="32"/>
          <w:szCs w:val="32"/>
          <w:u w:val="none" w:color="auto"/>
          <w:lang w:val="en-US" w:eastAsia="zh-CN"/>
        </w:rPr>
        <w:t>93.68</w:t>
      </w:r>
      <w:r>
        <w:rPr>
          <w:rFonts w:hint="default" w:ascii="Times New Roman" w:hAnsi="Times New Roman" w:eastAsia="仿宋_GB2312" w:cs="Times New Roman"/>
          <w:color w:val="000000"/>
          <w:kern w:val="0"/>
          <w:sz w:val="32"/>
          <w:szCs w:val="32"/>
          <w:u w:val="none" w:color="auto"/>
        </w:rPr>
        <w:t>万元、绩效工资</w:t>
      </w:r>
      <w:r>
        <w:rPr>
          <w:rFonts w:hint="default" w:ascii="Times New Roman" w:hAnsi="Times New Roman" w:eastAsia="仿宋_GB2312" w:cs="Times New Roman"/>
          <w:color w:val="000000"/>
          <w:kern w:val="0"/>
          <w:sz w:val="32"/>
          <w:szCs w:val="32"/>
          <w:u w:val="none" w:color="auto"/>
          <w:lang w:val="en-US" w:eastAsia="zh-CN"/>
        </w:rPr>
        <w:t>73.21</w:t>
      </w:r>
      <w:r>
        <w:rPr>
          <w:rFonts w:hint="default" w:ascii="Times New Roman" w:hAnsi="Times New Roman" w:eastAsia="仿宋_GB2312" w:cs="Times New Roman"/>
          <w:color w:val="000000"/>
          <w:kern w:val="0"/>
          <w:sz w:val="32"/>
          <w:szCs w:val="32"/>
          <w:u w:val="none" w:color="auto"/>
        </w:rPr>
        <w:t>万元、机关事业单位基本养老保险缴费</w:t>
      </w:r>
      <w:r>
        <w:rPr>
          <w:rFonts w:hint="default" w:ascii="Times New Roman" w:hAnsi="Times New Roman" w:eastAsia="仿宋_GB2312" w:cs="Times New Roman"/>
          <w:color w:val="000000"/>
          <w:kern w:val="0"/>
          <w:sz w:val="32"/>
          <w:szCs w:val="32"/>
          <w:u w:val="none" w:color="auto"/>
          <w:lang w:val="en-US" w:eastAsia="zh-CN"/>
        </w:rPr>
        <w:t>124.24</w:t>
      </w:r>
      <w:r>
        <w:rPr>
          <w:rFonts w:hint="default" w:ascii="Times New Roman" w:hAnsi="Times New Roman" w:eastAsia="仿宋_GB2312" w:cs="Times New Roman"/>
          <w:color w:val="000000"/>
          <w:kern w:val="0"/>
          <w:sz w:val="32"/>
          <w:szCs w:val="32"/>
          <w:u w:val="none" w:color="auto"/>
        </w:rPr>
        <w:t>万元、职业年金缴费</w:t>
      </w:r>
      <w:r>
        <w:rPr>
          <w:rFonts w:hint="default" w:ascii="Times New Roman" w:hAnsi="Times New Roman" w:eastAsia="仿宋_GB2312" w:cs="Times New Roman"/>
          <w:color w:val="000000"/>
          <w:kern w:val="0"/>
          <w:sz w:val="32"/>
          <w:szCs w:val="32"/>
          <w:u w:val="none" w:color="auto"/>
          <w:lang w:val="en-US" w:eastAsia="zh-CN"/>
        </w:rPr>
        <w:t>22.96</w:t>
      </w:r>
      <w:r>
        <w:rPr>
          <w:rFonts w:hint="default" w:ascii="Times New Roman" w:hAnsi="Times New Roman" w:eastAsia="仿宋_GB2312" w:cs="Times New Roman"/>
          <w:color w:val="000000"/>
          <w:kern w:val="0"/>
          <w:sz w:val="32"/>
          <w:szCs w:val="32"/>
          <w:u w:val="none" w:color="auto"/>
        </w:rPr>
        <w:t>万元、职工基本医疗保险缴费</w:t>
      </w:r>
      <w:r>
        <w:rPr>
          <w:rFonts w:hint="default" w:ascii="Times New Roman" w:hAnsi="Times New Roman" w:eastAsia="仿宋_GB2312" w:cs="Times New Roman"/>
          <w:color w:val="000000"/>
          <w:kern w:val="0"/>
          <w:sz w:val="32"/>
          <w:szCs w:val="32"/>
          <w:u w:val="none" w:color="auto"/>
          <w:lang w:val="en-US" w:eastAsia="zh-CN"/>
        </w:rPr>
        <w:t>46.36</w:t>
      </w:r>
      <w:r>
        <w:rPr>
          <w:rFonts w:hint="default" w:ascii="Times New Roman" w:hAnsi="Times New Roman" w:eastAsia="仿宋_GB2312" w:cs="Times New Roman"/>
          <w:color w:val="000000"/>
          <w:kern w:val="0"/>
          <w:sz w:val="32"/>
          <w:szCs w:val="32"/>
          <w:u w:val="none" w:color="auto"/>
        </w:rPr>
        <w:t>万元、公务员医疗补助缴费</w:t>
      </w:r>
      <w:r>
        <w:rPr>
          <w:rFonts w:hint="default" w:ascii="Times New Roman" w:hAnsi="Times New Roman" w:eastAsia="仿宋_GB2312" w:cs="Times New Roman"/>
          <w:color w:val="000000"/>
          <w:kern w:val="0"/>
          <w:sz w:val="32"/>
          <w:szCs w:val="32"/>
          <w:u w:val="none" w:color="auto"/>
          <w:lang w:val="en-US" w:eastAsia="zh-CN"/>
        </w:rPr>
        <w:t>15.94</w:t>
      </w:r>
      <w:r>
        <w:rPr>
          <w:rFonts w:hint="default" w:ascii="Times New Roman" w:hAnsi="Times New Roman" w:eastAsia="仿宋_GB2312" w:cs="Times New Roman"/>
          <w:color w:val="000000"/>
          <w:kern w:val="0"/>
          <w:sz w:val="32"/>
          <w:szCs w:val="32"/>
          <w:u w:val="none" w:color="auto"/>
        </w:rPr>
        <w:t>万元、其他社会保障缴费</w:t>
      </w:r>
      <w:r>
        <w:rPr>
          <w:rFonts w:hint="default" w:ascii="Times New Roman" w:hAnsi="Times New Roman" w:eastAsia="仿宋_GB2312" w:cs="Times New Roman"/>
          <w:color w:val="000000"/>
          <w:kern w:val="0"/>
          <w:sz w:val="32"/>
          <w:szCs w:val="32"/>
          <w:u w:val="none" w:color="auto"/>
          <w:lang w:val="en-US" w:eastAsia="zh-CN"/>
        </w:rPr>
        <w:t>12.24</w:t>
      </w:r>
      <w:r>
        <w:rPr>
          <w:rFonts w:hint="default" w:ascii="Times New Roman" w:hAnsi="Times New Roman" w:eastAsia="仿宋_GB2312" w:cs="Times New Roman"/>
          <w:color w:val="000000"/>
          <w:kern w:val="0"/>
          <w:sz w:val="32"/>
          <w:szCs w:val="32"/>
          <w:u w:val="none" w:color="auto"/>
        </w:rPr>
        <w:t>万元、住房公积金</w:t>
      </w:r>
      <w:r>
        <w:rPr>
          <w:rFonts w:hint="default" w:ascii="Times New Roman" w:hAnsi="Times New Roman" w:eastAsia="仿宋_GB2312" w:cs="Times New Roman"/>
          <w:color w:val="000000"/>
          <w:kern w:val="0"/>
          <w:sz w:val="32"/>
          <w:szCs w:val="32"/>
          <w:u w:val="none" w:color="auto"/>
          <w:lang w:val="en-US" w:eastAsia="zh-CN"/>
        </w:rPr>
        <w:t>122.00</w:t>
      </w:r>
      <w:r>
        <w:rPr>
          <w:rFonts w:hint="default" w:ascii="Times New Roman" w:hAnsi="Times New Roman" w:eastAsia="仿宋_GB2312" w:cs="Times New Roman"/>
          <w:color w:val="000000"/>
          <w:kern w:val="0"/>
          <w:sz w:val="32"/>
          <w:szCs w:val="32"/>
          <w:u w:val="none" w:color="auto"/>
        </w:rPr>
        <w:t>万元、离休费</w:t>
      </w:r>
      <w:r>
        <w:rPr>
          <w:rFonts w:hint="default" w:ascii="Times New Roman" w:hAnsi="Times New Roman" w:eastAsia="仿宋_GB2312" w:cs="Times New Roman"/>
          <w:color w:val="000000"/>
          <w:kern w:val="0"/>
          <w:sz w:val="32"/>
          <w:szCs w:val="32"/>
          <w:u w:val="none" w:color="auto"/>
          <w:lang w:val="en-US" w:eastAsia="zh-CN"/>
        </w:rPr>
        <w:t>17.27</w:t>
      </w:r>
      <w:r>
        <w:rPr>
          <w:rFonts w:hint="default" w:ascii="Times New Roman" w:hAnsi="Times New Roman" w:eastAsia="仿宋_GB2312" w:cs="Times New Roman"/>
          <w:color w:val="000000"/>
          <w:kern w:val="0"/>
          <w:sz w:val="32"/>
          <w:szCs w:val="32"/>
          <w:u w:val="none" w:color="auto"/>
        </w:rPr>
        <w:t>万元、退休费</w:t>
      </w:r>
      <w:r>
        <w:rPr>
          <w:rFonts w:hint="default" w:ascii="Times New Roman" w:hAnsi="Times New Roman" w:eastAsia="仿宋_GB2312" w:cs="Times New Roman"/>
          <w:color w:val="000000"/>
          <w:kern w:val="0"/>
          <w:sz w:val="32"/>
          <w:szCs w:val="32"/>
          <w:u w:val="none" w:color="auto"/>
          <w:lang w:val="en-US" w:eastAsia="zh-CN"/>
        </w:rPr>
        <w:t>64.43</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val="en-US" w:eastAsia="zh-CN"/>
        </w:rPr>
        <w:t>抚恤金132.56万元、</w:t>
      </w:r>
      <w:r>
        <w:rPr>
          <w:rFonts w:hint="default" w:ascii="Times New Roman" w:hAnsi="Times New Roman" w:eastAsia="仿宋_GB2312" w:cs="Times New Roman"/>
          <w:color w:val="000000"/>
          <w:kern w:val="0"/>
          <w:sz w:val="32"/>
          <w:szCs w:val="32"/>
          <w:u w:val="none" w:color="auto"/>
        </w:rPr>
        <w:t>生活补助2.31万元。</w:t>
      </w:r>
    </w:p>
    <w:p w14:paraId="6DAD2E24">
      <w:pPr>
        <w:widowControl/>
        <w:spacing w:before="240" w:after="240"/>
        <w:ind w:firstLine="643"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color w:val="000000"/>
          <w:kern w:val="0"/>
          <w:sz w:val="32"/>
          <w:szCs w:val="32"/>
          <w:u w:val="none" w:color="auto"/>
        </w:rPr>
        <w:t>（二）公用经费</w:t>
      </w:r>
      <w:r>
        <w:rPr>
          <w:rFonts w:hint="default" w:ascii="Times New Roman" w:hAnsi="Times New Roman" w:eastAsia="times_new_roman" w:cs="Times New Roman"/>
          <w:color w:val="000000"/>
          <w:kern w:val="0"/>
          <w:sz w:val="32"/>
          <w:szCs w:val="32"/>
          <w:u w:val="none" w:color="auto"/>
        </w:rPr>
        <w:t>149.15</w:t>
      </w:r>
      <w:r>
        <w:rPr>
          <w:rFonts w:hint="default" w:ascii="Times New Roman" w:hAnsi="Times New Roman" w:eastAsia="仿宋_GB2312" w:cs="Times New Roman"/>
          <w:b/>
          <w:bCs/>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rPr>
        <w:t>。主要包括：办公费</w:t>
      </w:r>
      <w:r>
        <w:rPr>
          <w:rFonts w:hint="default" w:ascii="Times New Roman" w:hAnsi="Times New Roman" w:eastAsia="仿宋_GB2312" w:cs="Times New Roman"/>
          <w:color w:val="000000"/>
          <w:kern w:val="0"/>
          <w:sz w:val="32"/>
          <w:szCs w:val="32"/>
          <w:u w:val="none" w:color="auto"/>
          <w:lang w:val="en-US" w:eastAsia="zh-CN"/>
        </w:rPr>
        <w:t>16.78</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val="en-US" w:eastAsia="zh-CN"/>
        </w:rPr>
        <w:t>印刷费0.22万元、</w:t>
      </w:r>
      <w:r>
        <w:rPr>
          <w:rFonts w:hint="default" w:ascii="Times New Roman" w:hAnsi="Times New Roman" w:eastAsia="仿宋_GB2312" w:cs="Times New Roman"/>
          <w:color w:val="000000"/>
          <w:kern w:val="0"/>
          <w:sz w:val="32"/>
          <w:szCs w:val="32"/>
          <w:u w:val="none" w:color="auto"/>
        </w:rPr>
        <w:t>邮电费4.</w:t>
      </w:r>
      <w:r>
        <w:rPr>
          <w:rFonts w:hint="default" w:ascii="Times New Roman" w:hAnsi="Times New Roman" w:eastAsia="仿宋_GB2312" w:cs="Times New Roman"/>
          <w:color w:val="000000"/>
          <w:kern w:val="0"/>
          <w:sz w:val="32"/>
          <w:szCs w:val="32"/>
          <w:u w:val="none" w:color="auto"/>
          <w:lang w:val="en-US" w:eastAsia="zh-CN"/>
        </w:rPr>
        <w:t>9</w:t>
      </w:r>
      <w:r>
        <w:rPr>
          <w:rFonts w:hint="default" w:ascii="Times New Roman" w:hAnsi="Times New Roman" w:eastAsia="仿宋_GB2312" w:cs="Times New Roman"/>
          <w:color w:val="000000"/>
          <w:kern w:val="0"/>
          <w:sz w:val="32"/>
          <w:szCs w:val="32"/>
          <w:u w:val="none" w:color="auto"/>
        </w:rPr>
        <w:t>0万元、公务接待费</w:t>
      </w:r>
      <w:r>
        <w:rPr>
          <w:rFonts w:hint="default" w:ascii="Times New Roman" w:hAnsi="Times New Roman" w:eastAsia="仿宋_GB2312" w:cs="Times New Roman"/>
          <w:color w:val="000000"/>
          <w:kern w:val="0"/>
          <w:sz w:val="32"/>
          <w:szCs w:val="32"/>
          <w:u w:val="none" w:color="auto"/>
          <w:lang w:val="en-US" w:eastAsia="zh-CN"/>
        </w:rPr>
        <w:t>1.6</w:t>
      </w:r>
      <w:r>
        <w:rPr>
          <w:rFonts w:hint="default" w:ascii="Times New Roman" w:hAnsi="Times New Roman" w:eastAsia="仿宋_GB2312" w:cs="Times New Roman"/>
          <w:color w:val="000000"/>
          <w:kern w:val="0"/>
          <w:sz w:val="32"/>
          <w:szCs w:val="32"/>
          <w:u w:val="none" w:color="auto"/>
        </w:rPr>
        <w:t>0万元、工会经费</w:t>
      </w:r>
      <w:r>
        <w:rPr>
          <w:rFonts w:hint="default" w:ascii="Times New Roman" w:hAnsi="Times New Roman" w:eastAsia="仿宋_GB2312" w:cs="Times New Roman"/>
          <w:color w:val="000000"/>
          <w:kern w:val="0"/>
          <w:sz w:val="32"/>
          <w:szCs w:val="32"/>
          <w:u w:val="none" w:color="auto"/>
          <w:lang w:val="en-US" w:eastAsia="zh-CN"/>
        </w:rPr>
        <w:t>11.69</w:t>
      </w:r>
      <w:r>
        <w:rPr>
          <w:rFonts w:hint="default" w:ascii="Times New Roman" w:hAnsi="Times New Roman" w:eastAsia="仿宋_GB2312" w:cs="Times New Roman"/>
          <w:color w:val="000000"/>
          <w:kern w:val="0"/>
          <w:sz w:val="32"/>
          <w:szCs w:val="32"/>
          <w:u w:val="none" w:color="auto"/>
        </w:rPr>
        <w:t>万元、福利费</w:t>
      </w:r>
      <w:r>
        <w:rPr>
          <w:rFonts w:hint="default" w:ascii="Times New Roman" w:hAnsi="Times New Roman" w:eastAsia="仿宋_GB2312" w:cs="Times New Roman"/>
          <w:color w:val="000000"/>
          <w:kern w:val="0"/>
          <w:sz w:val="32"/>
          <w:szCs w:val="32"/>
          <w:u w:val="none" w:color="auto"/>
          <w:lang w:val="en-US" w:eastAsia="zh-CN"/>
        </w:rPr>
        <w:t>24.35</w:t>
      </w:r>
      <w:r>
        <w:rPr>
          <w:rFonts w:hint="default" w:ascii="Times New Roman" w:hAnsi="Times New Roman" w:eastAsia="仿宋_GB2312" w:cs="Times New Roman"/>
          <w:color w:val="000000"/>
          <w:kern w:val="0"/>
          <w:sz w:val="32"/>
          <w:szCs w:val="32"/>
          <w:u w:val="none" w:color="auto"/>
        </w:rPr>
        <w:t>万元、公务用车运行维护费7.26万元、其他交通费用</w:t>
      </w:r>
      <w:r>
        <w:rPr>
          <w:rFonts w:hint="default" w:ascii="Times New Roman" w:hAnsi="Times New Roman" w:eastAsia="仿宋_GB2312" w:cs="Times New Roman"/>
          <w:color w:val="000000"/>
          <w:kern w:val="0"/>
          <w:sz w:val="32"/>
          <w:szCs w:val="32"/>
          <w:u w:val="none" w:color="auto"/>
          <w:lang w:val="en-US" w:eastAsia="zh-CN"/>
        </w:rPr>
        <w:t>80.87</w:t>
      </w:r>
      <w:r>
        <w:rPr>
          <w:rFonts w:hint="default" w:ascii="Times New Roman" w:hAnsi="Times New Roman" w:eastAsia="仿宋_GB2312" w:cs="Times New Roman"/>
          <w:color w:val="000000"/>
          <w:kern w:val="0"/>
          <w:sz w:val="32"/>
          <w:szCs w:val="32"/>
          <w:u w:val="none" w:color="auto"/>
        </w:rPr>
        <w:t>万元、其他商品和服务支出</w:t>
      </w:r>
      <w:r>
        <w:rPr>
          <w:rFonts w:hint="default" w:ascii="Times New Roman" w:hAnsi="Times New Roman" w:eastAsia="仿宋_GB2312" w:cs="Times New Roman"/>
          <w:color w:val="000000"/>
          <w:kern w:val="0"/>
          <w:sz w:val="32"/>
          <w:szCs w:val="32"/>
          <w:u w:val="none" w:color="auto"/>
          <w:lang w:val="en-US" w:eastAsia="zh-CN"/>
        </w:rPr>
        <w:t>1.49</w:t>
      </w:r>
      <w:r>
        <w:rPr>
          <w:rFonts w:hint="default" w:ascii="Times New Roman" w:hAnsi="Times New Roman" w:eastAsia="仿宋_GB2312" w:cs="Times New Roman"/>
          <w:color w:val="000000"/>
          <w:kern w:val="0"/>
          <w:sz w:val="32"/>
          <w:szCs w:val="32"/>
          <w:u w:val="none" w:color="auto"/>
        </w:rPr>
        <w:t>万元。</w:t>
      </w:r>
    </w:p>
    <w:p w14:paraId="4325CAE6">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七、一般公共预算财政拨款项目支出决算情况说明</w:t>
      </w:r>
    </w:p>
    <w:p w14:paraId="2A3D3C10">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年度一般公共预算财政拨款项目支出决算</w:t>
      </w:r>
      <w:r>
        <w:rPr>
          <w:rFonts w:hint="default" w:ascii="Times New Roman" w:hAnsi="Times New Roman" w:eastAsia="Times New Roman" w:cs="Times New Roman"/>
          <w:color w:val="000000"/>
          <w:kern w:val="0"/>
          <w:sz w:val="32"/>
          <w:szCs w:val="32"/>
          <w:u w:val="none" w:color="auto"/>
        </w:rPr>
        <w:t>3</w:t>
      </w:r>
      <w:r>
        <w:rPr>
          <w:rFonts w:hint="default" w:ascii="Times New Roman" w:hAnsi="Times New Roman" w:eastAsia="宋体" w:cs="Times New Roman"/>
          <w:color w:val="000000"/>
          <w:kern w:val="0"/>
          <w:sz w:val="32"/>
          <w:szCs w:val="32"/>
          <w:u w:val="none" w:color="auto"/>
          <w:lang w:val="en-US" w:eastAsia="zh-CN"/>
        </w:rPr>
        <w:t>,</w:t>
      </w:r>
      <w:r>
        <w:rPr>
          <w:rFonts w:hint="default" w:ascii="Times New Roman" w:hAnsi="Times New Roman" w:eastAsia="Times New Roman" w:cs="Times New Roman"/>
          <w:color w:val="000000"/>
          <w:kern w:val="0"/>
          <w:sz w:val="32"/>
          <w:szCs w:val="32"/>
          <w:u w:val="none" w:color="auto"/>
        </w:rPr>
        <w:t>324.09</w:t>
      </w:r>
      <w:r>
        <w:rPr>
          <w:rFonts w:hint="default" w:ascii="Times New Roman" w:hAnsi="Times New Roman" w:eastAsia="仿宋_GB2312" w:cs="Times New Roman"/>
          <w:color w:val="000000"/>
          <w:kern w:val="0"/>
          <w:sz w:val="32"/>
          <w:szCs w:val="32"/>
          <w:u w:val="none" w:color="auto"/>
        </w:rPr>
        <w:t>万元，其中：</w:t>
      </w:r>
    </w:p>
    <w:p w14:paraId="211A6F27">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color w:val="000000"/>
          <w:kern w:val="0"/>
          <w:sz w:val="32"/>
          <w:szCs w:val="32"/>
          <w:u w:val="none" w:color="auto"/>
        </w:rPr>
        <w:t>    （一）工资福利支出</w:t>
      </w:r>
      <w:r>
        <w:rPr>
          <w:rFonts w:hint="default" w:ascii="Times New Roman" w:hAnsi="Times New Roman" w:eastAsia="Times New Roman" w:cs="Times New Roman"/>
          <w:color w:val="000000"/>
          <w:kern w:val="0"/>
          <w:sz w:val="32"/>
          <w:szCs w:val="32"/>
          <w:u w:val="none" w:color="auto"/>
        </w:rPr>
        <w:t xml:space="preserve"> </w:t>
      </w:r>
      <w:r>
        <w:rPr>
          <w:rFonts w:hint="default" w:ascii="Times New Roman" w:hAnsi="Times New Roman" w:eastAsia="Times New Roman" w:cs="Times New Roman"/>
          <w:b/>
          <w:bCs/>
          <w:color w:val="000000"/>
          <w:kern w:val="0"/>
          <w:sz w:val="32"/>
          <w:szCs w:val="32"/>
          <w:u w:val="none" w:color="auto"/>
        </w:rPr>
        <w:t>0</w:t>
      </w:r>
      <w:r>
        <w:rPr>
          <w:rFonts w:hint="eastAsia" w:eastAsia="宋体" w:cs="Times New Roman"/>
          <w:b/>
          <w:bCs/>
          <w:color w:val="000000"/>
          <w:kern w:val="0"/>
          <w:sz w:val="32"/>
          <w:szCs w:val="32"/>
          <w:u w:val="none" w:color="auto"/>
          <w:lang w:val="en-US" w:eastAsia="zh-CN"/>
        </w:rPr>
        <w:t>.00</w:t>
      </w:r>
      <w:r>
        <w:rPr>
          <w:rFonts w:hint="default" w:ascii="Times New Roman" w:hAnsi="Times New Roman" w:eastAsia="仿宋_GB2312" w:cs="Times New Roman"/>
          <w:color w:val="000000"/>
          <w:kern w:val="0"/>
          <w:sz w:val="32"/>
          <w:szCs w:val="32"/>
          <w:u w:val="none" w:color="auto"/>
        </w:rPr>
        <w:t>万元。本单位本年度项目资金未列支工资福利支出。</w:t>
      </w:r>
    </w:p>
    <w:p w14:paraId="7C21B8C5">
      <w:pPr>
        <w:widowControl/>
        <w:spacing w:before="240" w:after="240"/>
        <w:ind w:firstLine="643"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color w:val="000000"/>
          <w:kern w:val="0"/>
          <w:sz w:val="32"/>
          <w:szCs w:val="32"/>
          <w:u w:val="none" w:color="auto"/>
        </w:rPr>
        <w:t>（二）商品和服务支出</w:t>
      </w:r>
      <w:r>
        <w:rPr>
          <w:rFonts w:hint="default" w:ascii="Times New Roman" w:hAnsi="Times New Roman" w:eastAsia="Times New Roman" w:cs="Times New Roman"/>
          <w:b/>
          <w:bCs/>
          <w:color w:val="000000"/>
          <w:kern w:val="0"/>
          <w:sz w:val="32"/>
          <w:szCs w:val="32"/>
          <w:u w:val="none" w:color="auto"/>
        </w:rPr>
        <w:t xml:space="preserve"> 1</w:t>
      </w:r>
      <w:r>
        <w:rPr>
          <w:rFonts w:hint="default" w:ascii="Times New Roman" w:hAnsi="Times New Roman" w:eastAsia="宋体" w:cs="Times New Roman"/>
          <w:b/>
          <w:bCs/>
          <w:color w:val="000000"/>
          <w:kern w:val="0"/>
          <w:sz w:val="32"/>
          <w:szCs w:val="32"/>
          <w:u w:val="none" w:color="auto"/>
          <w:lang w:val="en-US" w:eastAsia="zh-CN"/>
        </w:rPr>
        <w:t>,</w:t>
      </w:r>
      <w:r>
        <w:rPr>
          <w:rFonts w:hint="default" w:ascii="Times New Roman" w:hAnsi="Times New Roman" w:eastAsia="Times New Roman" w:cs="Times New Roman"/>
          <w:b/>
          <w:bCs/>
          <w:color w:val="000000"/>
          <w:kern w:val="0"/>
          <w:sz w:val="32"/>
          <w:szCs w:val="32"/>
          <w:u w:val="none" w:color="auto"/>
        </w:rPr>
        <w:t>029.29</w:t>
      </w:r>
      <w:r>
        <w:rPr>
          <w:rFonts w:hint="default" w:ascii="Times New Roman" w:hAnsi="Times New Roman" w:eastAsia="仿宋_GB2312" w:cs="Times New Roman"/>
          <w:color w:val="000000"/>
          <w:kern w:val="0"/>
          <w:sz w:val="32"/>
          <w:szCs w:val="32"/>
          <w:u w:val="none" w:color="auto"/>
        </w:rPr>
        <w:t>万元。主要包括：办公费</w:t>
      </w:r>
      <w:r>
        <w:rPr>
          <w:rFonts w:hint="default" w:ascii="Times New Roman" w:hAnsi="Times New Roman" w:eastAsia="仿宋_GB2312" w:cs="Times New Roman"/>
          <w:color w:val="000000"/>
          <w:kern w:val="0"/>
          <w:sz w:val="32"/>
          <w:szCs w:val="32"/>
          <w:u w:val="none" w:color="auto"/>
          <w:lang w:val="en-US" w:eastAsia="zh-CN"/>
        </w:rPr>
        <w:t>23.55</w:t>
      </w:r>
      <w:r>
        <w:rPr>
          <w:rFonts w:hint="default" w:ascii="Times New Roman" w:hAnsi="Times New Roman" w:eastAsia="仿宋_GB2312" w:cs="Times New Roman"/>
          <w:color w:val="000000"/>
          <w:kern w:val="0"/>
          <w:sz w:val="32"/>
          <w:szCs w:val="32"/>
          <w:u w:val="none" w:color="auto"/>
        </w:rPr>
        <w:t>万元、印刷费</w:t>
      </w:r>
      <w:r>
        <w:rPr>
          <w:rFonts w:hint="default" w:ascii="Times New Roman" w:hAnsi="Times New Roman" w:eastAsia="仿宋_GB2312" w:cs="Times New Roman"/>
          <w:color w:val="000000"/>
          <w:kern w:val="0"/>
          <w:sz w:val="32"/>
          <w:szCs w:val="32"/>
          <w:u w:val="none" w:color="auto"/>
          <w:lang w:val="en-US" w:eastAsia="zh-CN"/>
        </w:rPr>
        <w:t>27.83</w:t>
      </w:r>
      <w:r>
        <w:rPr>
          <w:rFonts w:hint="default" w:ascii="Times New Roman" w:hAnsi="Times New Roman" w:eastAsia="仿宋_GB2312" w:cs="Times New Roman"/>
          <w:color w:val="000000"/>
          <w:kern w:val="0"/>
          <w:sz w:val="32"/>
          <w:szCs w:val="32"/>
          <w:u w:val="none" w:color="auto"/>
        </w:rPr>
        <w:t>万元、差旅费</w:t>
      </w:r>
      <w:r>
        <w:rPr>
          <w:rFonts w:hint="default" w:ascii="Times New Roman" w:hAnsi="Times New Roman" w:eastAsia="仿宋_GB2312" w:cs="Times New Roman"/>
          <w:color w:val="000000"/>
          <w:kern w:val="0"/>
          <w:sz w:val="32"/>
          <w:szCs w:val="32"/>
          <w:u w:val="none" w:color="auto"/>
          <w:lang w:val="en-US" w:eastAsia="zh-CN"/>
        </w:rPr>
        <w:t>89.82</w:t>
      </w:r>
      <w:r>
        <w:rPr>
          <w:rFonts w:hint="default" w:ascii="Times New Roman" w:hAnsi="Times New Roman" w:eastAsia="仿宋_GB2312" w:cs="Times New Roman"/>
          <w:color w:val="000000"/>
          <w:kern w:val="0"/>
          <w:sz w:val="32"/>
          <w:szCs w:val="32"/>
          <w:u w:val="none" w:color="auto"/>
        </w:rPr>
        <w:t>万元、维修（护）费</w:t>
      </w:r>
      <w:r>
        <w:rPr>
          <w:rFonts w:hint="default" w:ascii="Times New Roman" w:hAnsi="Times New Roman" w:eastAsia="仿宋_GB2312" w:cs="Times New Roman"/>
          <w:color w:val="000000"/>
          <w:kern w:val="0"/>
          <w:sz w:val="32"/>
          <w:szCs w:val="32"/>
          <w:u w:val="none" w:color="auto"/>
          <w:lang w:val="en-US" w:eastAsia="zh-CN"/>
        </w:rPr>
        <w:t>9.45万元、</w:t>
      </w:r>
      <w:r>
        <w:rPr>
          <w:rFonts w:hint="default" w:ascii="Times New Roman" w:hAnsi="Times New Roman" w:eastAsia="仿宋_GB2312" w:cs="Times New Roman"/>
          <w:color w:val="000000"/>
          <w:kern w:val="0"/>
          <w:sz w:val="32"/>
          <w:szCs w:val="32"/>
          <w:u w:val="none" w:color="auto"/>
        </w:rPr>
        <w:t>会议费7.</w:t>
      </w:r>
      <w:r>
        <w:rPr>
          <w:rFonts w:hint="default" w:ascii="Times New Roman" w:hAnsi="Times New Roman" w:eastAsia="仿宋_GB2312" w:cs="Times New Roman"/>
          <w:color w:val="000000"/>
          <w:kern w:val="0"/>
          <w:sz w:val="32"/>
          <w:szCs w:val="32"/>
          <w:u w:val="none" w:color="auto"/>
          <w:lang w:val="en-US" w:eastAsia="zh-CN"/>
        </w:rPr>
        <w:t>75</w:t>
      </w:r>
      <w:r>
        <w:rPr>
          <w:rFonts w:hint="default" w:ascii="Times New Roman" w:hAnsi="Times New Roman" w:eastAsia="仿宋_GB2312" w:cs="Times New Roman"/>
          <w:color w:val="000000"/>
          <w:kern w:val="0"/>
          <w:sz w:val="32"/>
          <w:szCs w:val="32"/>
          <w:u w:val="none" w:color="auto"/>
        </w:rPr>
        <w:t>万元、培训费</w:t>
      </w:r>
      <w:r>
        <w:rPr>
          <w:rFonts w:hint="default" w:ascii="Times New Roman" w:hAnsi="Times New Roman" w:eastAsia="仿宋_GB2312" w:cs="Times New Roman"/>
          <w:color w:val="000000"/>
          <w:kern w:val="0"/>
          <w:sz w:val="32"/>
          <w:szCs w:val="32"/>
          <w:u w:val="none" w:color="auto"/>
          <w:lang w:val="en-US" w:eastAsia="zh-CN"/>
        </w:rPr>
        <w:t>53.16</w:t>
      </w:r>
      <w:r>
        <w:rPr>
          <w:rFonts w:hint="default" w:ascii="Times New Roman" w:hAnsi="Times New Roman" w:eastAsia="仿宋_GB2312" w:cs="Times New Roman"/>
          <w:color w:val="000000"/>
          <w:kern w:val="0"/>
          <w:sz w:val="32"/>
          <w:szCs w:val="32"/>
          <w:u w:val="none" w:color="auto"/>
        </w:rPr>
        <w:t>万元、劳务费20.</w:t>
      </w:r>
      <w:r>
        <w:rPr>
          <w:rFonts w:hint="default" w:ascii="Times New Roman" w:hAnsi="Times New Roman" w:eastAsia="仿宋_GB2312" w:cs="Times New Roman"/>
          <w:color w:val="000000"/>
          <w:kern w:val="0"/>
          <w:sz w:val="32"/>
          <w:szCs w:val="32"/>
          <w:u w:val="none" w:color="auto"/>
          <w:lang w:val="en-US" w:eastAsia="zh-CN"/>
        </w:rPr>
        <w:t>03</w:t>
      </w:r>
      <w:r>
        <w:rPr>
          <w:rFonts w:hint="default" w:ascii="Times New Roman" w:hAnsi="Times New Roman" w:eastAsia="仿宋_GB2312" w:cs="Times New Roman"/>
          <w:color w:val="000000"/>
          <w:kern w:val="0"/>
          <w:sz w:val="32"/>
          <w:szCs w:val="32"/>
          <w:u w:val="none" w:color="auto"/>
        </w:rPr>
        <w:t>万元、委托业务费</w:t>
      </w:r>
      <w:r>
        <w:rPr>
          <w:rFonts w:hint="default" w:ascii="Times New Roman" w:hAnsi="Times New Roman" w:eastAsia="仿宋_GB2312" w:cs="Times New Roman"/>
          <w:color w:val="000000"/>
          <w:kern w:val="0"/>
          <w:sz w:val="32"/>
          <w:szCs w:val="32"/>
          <w:u w:val="none" w:color="auto"/>
          <w:lang w:val="en-US" w:eastAsia="zh-CN"/>
        </w:rPr>
        <w:t>501.46</w:t>
      </w:r>
      <w:r>
        <w:rPr>
          <w:rFonts w:hint="default" w:ascii="Times New Roman" w:hAnsi="Times New Roman" w:eastAsia="仿宋_GB2312" w:cs="Times New Roman"/>
          <w:color w:val="000000"/>
          <w:kern w:val="0"/>
          <w:sz w:val="32"/>
          <w:szCs w:val="32"/>
          <w:u w:val="none" w:color="auto"/>
        </w:rPr>
        <w:t>万元、公务用车运行维护费5.</w:t>
      </w:r>
      <w:r>
        <w:rPr>
          <w:rFonts w:hint="default" w:ascii="Times New Roman" w:hAnsi="Times New Roman" w:eastAsia="仿宋_GB2312" w:cs="Times New Roman"/>
          <w:color w:val="000000"/>
          <w:kern w:val="0"/>
          <w:sz w:val="32"/>
          <w:szCs w:val="32"/>
          <w:u w:val="none" w:color="auto"/>
          <w:lang w:val="en-US" w:eastAsia="zh-CN"/>
        </w:rPr>
        <w:t>56</w:t>
      </w:r>
      <w:r>
        <w:rPr>
          <w:rFonts w:hint="default" w:ascii="Times New Roman" w:hAnsi="Times New Roman" w:eastAsia="仿宋_GB2312" w:cs="Times New Roman"/>
          <w:color w:val="000000"/>
          <w:kern w:val="0"/>
          <w:sz w:val="32"/>
          <w:szCs w:val="32"/>
          <w:u w:val="none" w:color="auto"/>
        </w:rPr>
        <w:t>万元、其他交通费用</w:t>
      </w:r>
      <w:r>
        <w:rPr>
          <w:rFonts w:hint="default" w:ascii="Times New Roman" w:hAnsi="Times New Roman" w:eastAsia="仿宋_GB2312" w:cs="Times New Roman"/>
          <w:color w:val="000000"/>
          <w:kern w:val="0"/>
          <w:sz w:val="32"/>
          <w:szCs w:val="32"/>
          <w:u w:val="none" w:color="auto"/>
          <w:lang w:val="en-US" w:eastAsia="zh-CN"/>
        </w:rPr>
        <w:t>8.75</w:t>
      </w:r>
      <w:r>
        <w:rPr>
          <w:rFonts w:hint="default" w:ascii="Times New Roman" w:hAnsi="Times New Roman" w:eastAsia="仿宋_GB2312" w:cs="Times New Roman"/>
          <w:color w:val="000000"/>
          <w:kern w:val="0"/>
          <w:sz w:val="32"/>
          <w:szCs w:val="32"/>
          <w:u w:val="none" w:color="auto"/>
        </w:rPr>
        <w:t>万元、其他商品和服务支出</w:t>
      </w:r>
      <w:r>
        <w:rPr>
          <w:rFonts w:hint="default" w:ascii="Times New Roman" w:hAnsi="Times New Roman" w:eastAsia="仿宋_GB2312" w:cs="Times New Roman"/>
          <w:color w:val="000000"/>
          <w:kern w:val="0"/>
          <w:sz w:val="32"/>
          <w:szCs w:val="32"/>
          <w:u w:val="none" w:color="auto"/>
          <w:lang w:val="en-US" w:eastAsia="zh-CN"/>
        </w:rPr>
        <w:t>281.93</w:t>
      </w:r>
      <w:r>
        <w:rPr>
          <w:rFonts w:hint="default" w:ascii="Times New Roman" w:hAnsi="Times New Roman" w:eastAsia="仿宋_GB2312" w:cs="Times New Roman"/>
          <w:color w:val="000000"/>
          <w:kern w:val="0"/>
          <w:sz w:val="32"/>
          <w:szCs w:val="32"/>
          <w:u w:val="none" w:color="auto"/>
        </w:rPr>
        <w:t>万元。</w:t>
      </w:r>
    </w:p>
    <w:p w14:paraId="3CDD3DBA">
      <w:pPr>
        <w:widowControl/>
        <w:spacing w:before="240" w:after="240"/>
        <w:ind w:firstLine="643" w:firstLineChars="200"/>
        <w:rPr>
          <w:rFonts w:hint="default" w:ascii="Times New Roman" w:hAnsi="Times New Roman" w:eastAsia="仿宋_GB2312" w:cs="Times New Roman"/>
          <w:b/>
          <w:bCs/>
          <w:color w:val="000000"/>
          <w:kern w:val="0"/>
          <w:sz w:val="32"/>
          <w:szCs w:val="32"/>
          <w:u w:val="none" w:color="auto"/>
        </w:rPr>
      </w:pPr>
      <w:r>
        <w:rPr>
          <w:rFonts w:hint="default" w:ascii="Times New Roman" w:hAnsi="Times New Roman" w:eastAsia="仿宋_GB2312" w:cs="Times New Roman"/>
          <w:b/>
          <w:bCs/>
          <w:color w:val="000000"/>
          <w:kern w:val="0"/>
          <w:sz w:val="32"/>
          <w:szCs w:val="32"/>
          <w:u w:val="none" w:color="auto"/>
        </w:rPr>
        <w:t>（三）对个人和家庭的补助</w:t>
      </w:r>
      <w:r>
        <w:rPr>
          <w:rFonts w:hint="default" w:ascii="Times New Roman" w:hAnsi="Times New Roman" w:eastAsia="仿宋_GB2312" w:cs="Times New Roman"/>
          <w:b/>
          <w:bCs/>
          <w:color w:val="000000"/>
          <w:kern w:val="0"/>
          <w:sz w:val="32"/>
          <w:szCs w:val="32"/>
          <w:u w:val="none" w:color="auto"/>
          <w:lang w:val="en-US" w:eastAsia="zh-CN"/>
        </w:rPr>
        <w:t>195.92</w:t>
      </w:r>
      <w:r>
        <w:rPr>
          <w:rFonts w:hint="default" w:ascii="Times New Roman" w:hAnsi="Times New Roman" w:eastAsia="仿宋_GB2312" w:cs="Times New Roman"/>
          <w:b/>
          <w:bCs/>
          <w:color w:val="000000"/>
          <w:kern w:val="0"/>
          <w:sz w:val="32"/>
          <w:szCs w:val="32"/>
          <w:u w:val="none" w:color="auto"/>
        </w:rPr>
        <w:t>万元。</w:t>
      </w:r>
      <w:r>
        <w:rPr>
          <w:rFonts w:hint="default" w:ascii="Times New Roman" w:hAnsi="Times New Roman" w:eastAsia="仿宋_GB2312" w:cs="Times New Roman"/>
          <w:b w:val="0"/>
          <w:bCs w:val="0"/>
          <w:color w:val="000000"/>
          <w:kern w:val="0"/>
          <w:sz w:val="32"/>
          <w:szCs w:val="32"/>
          <w:u w:val="none" w:color="auto"/>
        </w:rPr>
        <w:t>主要包括：其他对个人和家庭的补助</w:t>
      </w:r>
      <w:r>
        <w:rPr>
          <w:rFonts w:hint="default" w:ascii="Times New Roman" w:hAnsi="Times New Roman" w:eastAsia="仿宋_GB2312" w:cs="Times New Roman"/>
          <w:b w:val="0"/>
          <w:bCs w:val="0"/>
          <w:color w:val="000000"/>
          <w:kern w:val="0"/>
          <w:sz w:val="32"/>
          <w:szCs w:val="32"/>
          <w:u w:val="none" w:color="auto"/>
          <w:lang w:val="en-US" w:eastAsia="zh-CN"/>
        </w:rPr>
        <w:t>195.92</w:t>
      </w:r>
      <w:r>
        <w:rPr>
          <w:rFonts w:hint="default" w:ascii="Times New Roman" w:hAnsi="Times New Roman" w:eastAsia="仿宋_GB2312" w:cs="Times New Roman"/>
          <w:b w:val="0"/>
          <w:bCs w:val="0"/>
          <w:color w:val="000000"/>
          <w:kern w:val="0"/>
          <w:sz w:val="32"/>
          <w:szCs w:val="32"/>
          <w:u w:val="none" w:color="auto"/>
        </w:rPr>
        <w:t>万元。用于派驻纪检组专案经费补助</w:t>
      </w:r>
      <w:r>
        <w:rPr>
          <w:rFonts w:hint="default" w:ascii="Times New Roman" w:hAnsi="Times New Roman" w:eastAsia="仿宋_GB2312" w:cs="Times New Roman"/>
          <w:b w:val="0"/>
          <w:bCs w:val="0"/>
          <w:color w:val="000000"/>
          <w:kern w:val="0"/>
          <w:sz w:val="32"/>
          <w:szCs w:val="32"/>
          <w:u w:val="none" w:color="auto"/>
          <w:lang w:val="en-US" w:eastAsia="zh-CN"/>
        </w:rPr>
        <w:t>2.90</w:t>
      </w:r>
      <w:r>
        <w:rPr>
          <w:rFonts w:hint="default" w:ascii="Times New Roman" w:hAnsi="Times New Roman" w:eastAsia="仿宋_GB2312" w:cs="Times New Roman"/>
          <w:b w:val="0"/>
          <w:bCs w:val="0"/>
          <w:color w:val="000000"/>
          <w:kern w:val="0"/>
          <w:sz w:val="32"/>
          <w:szCs w:val="32"/>
          <w:u w:val="none" w:color="auto"/>
        </w:rPr>
        <w:t>万元，干部保健经费（体检费、药品费等补助）</w:t>
      </w:r>
      <w:r>
        <w:rPr>
          <w:rFonts w:hint="default" w:ascii="Times New Roman" w:hAnsi="Times New Roman" w:eastAsia="仿宋_GB2312" w:cs="Times New Roman"/>
          <w:b w:val="0"/>
          <w:bCs w:val="0"/>
          <w:color w:val="000000"/>
          <w:kern w:val="0"/>
          <w:sz w:val="32"/>
          <w:szCs w:val="32"/>
          <w:u w:val="none" w:color="auto"/>
          <w:lang w:val="en-US" w:eastAsia="zh-CN"/>
        </w:rPr>
        <w:t>193.02</w:t>
      </w:r>
      <w:r>
        <w:rPr>
          <w:rFonts w:hint="default" w:ascii="Times New Roman" w:hAnsi="Times New Roman" w:eastAsia="仿宋_GB2312" w:cs="Times New Roman"/>
          <w:b w:val="0"/>
          <w:bCs w:val="0"/>
          <w:color w:val="000000"/>
          <w:kern w:val="0"/>
          <w:sz w:val="32"/>
          <w:szCs w:val="32"/>
          <w:u w:val="none" w:color="auto"/>
        </w:rPr>
        <w:t>万元。</w:t>
      </w:r>
    </w:p>
    <w:p w14:paraId="1FA2836C">
      <w:pPr>
        <w:widowControl/>
        <w:spacing w:before="240" w:after="240"/>
        <w:ind w:firstLine="643"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color w:val="000000"/>
          <w:kern w:val="0"/>
          <w:sz w:val="32"/>
          <w:szCs w:val="32"/>
          <w:u w:val="none" w:color="auto"/>
        </w:rPr>
        <w:t>（</w:t>
      </w:r>
      <w:r>
        <w:rPr>
          <w:rFonts w:hint="default" w:ascii="Times New Roman" w:hAnsi="Times New Roman" w:eastAsia="仿宋_GB2312" w:cs="Times New Roman"/>
          <w:b/>
          <w:bCs/>
          <w:color w:val="000000"/>
          <w:kern w:val="0"/>
          <w:sz w:val="32"/>
          <w:szCs w:val="32"/>
          <w:u w:val="none" w:color="auto"/>
          <w:lang w:val="en-US" w:eastAsia="zh-CN"/>
        </w:rPr>
        <w:t>四</w:t>
      </w:r>
      <w:r>
        <w:rPr>
          <w:rFonts w:hint="default" w:ascii="Times New Roman" w:hAnsi="Times New Roman" w:eastAsia="仿宋_GB2312" w:cs="Times New Roman"/>
          <w:b/>
          <w:bCs/>
          <w:color w:val="000000"/>
          <w:kern w:val="0"/>
          <w:sz w:val="32"/>
          <w:szCs w:val="32"/>
          <w:u w:val="none" w:color="auto"/>
        </w:rPr>
        <w:t>）资本性支出</w:t>
      </w:r>
      <w:r>
        <w:rPr>
          <w:rFonts w:hint="default" w:ascii="Times New Roman" w:hAnsi="Times New Roman" w:eastAsia="Times New Roman" w:cs="Times New Roman"/>
          <w:b/>
          <w:bCs/>
          <w:color w:val="000000"/>
          <w:kern w:val="0"/>
          <w:sz w:val="32"/>
          <w:szCs w:val="32"/>
          <w:u w:val="none" w:color="auto"/>
        </w:rPr>
        <w:t xml:space="preserve"> 2098.89</w:t>
      </w:r>
      <w:r>
        <w:rPr>
          <w:rFonts w:hint="default" w:ascii="Times New Roman" w:hAnsi="Times New Roman" w:eastAsia="仿宋_GB2312" w:cs="Times New Roman"/>
          <w:b/>
          <w:bCs/>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rPr>
        <w:t>主要包括：办公设备购置</w:t>
      </w:r>
      <w:r>
        <w:rPr>
          <w:rFonts w:hint="default" w:ascii="Times New Roman" w:hAnsi="Times New Roman" w:eastAsia="仿宋_GB2312" w:cs="Times New Roman"/>
          <w:color w:val="000000"/>
          <w:kern w:val="0"/>
          <w:sz w:val="32"/>
          <w:szCs w:val="32"/>
          <w:u w:val="none" w:color="auto"/>
          <w:lang w:val="en-US" w:eastAsia="zh-CN"/>
        </w:rPr>
        <w:t>22.82</w:t>
      </w:r>
      <w:r>
        <w:rPr>
          <w:rFonts w:hint="default" w:ascii="Times New Roman" w:hAnsi="Times New Roman" w:eastAsia="仿宋_GB2312" w:cs="Times New Roman"/>
          <w:color w:val="000000"/>
          <w:kern w:val="0"/>
          <w:sz w:val="32"/>
          <w:szCs w:val="32"/>
          <w:u w:val="none" w:color="auto"/>
        </w:rPr>
        <w:t>万元、 信息网络及软件购置更新</w:t>
      </w:r>
      <w:r>
        <w:rPr>
          <w:rFonts w:hint="default" w:ascii="Times New Roman" w:hAnsi="Times New Roman" w:eastAsia="仿宋_GB2312" w:cs="Times New Roman"/>
          <w:color w:val="000000"/>
          <w:kern w:val="0"/>
          <w:sz w:val="32"/>
          <w:szCs w:val="32"/>
          <w:u w:val="none" w:color="auto"/>
          <w:lang w:val="en-US" w:eastAsia="zh-CN"/>
        </w:rPr>
        <w:t>2</w:t>
      </w:r>
      <w:r>
        <w:rPr>
          <w:rFonts w:hint="default" w:ascii="Times New Roman" w:hAnsi="Times New Roman" w:eastAsia="仿宋_GB2312"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lang w:val="en-US" w:eastAsia="zh-CN"/>
        </w:rPr>
        <w:t>51</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000000"/>
          <w:kern w:val="0"/>
          <w:sz w:val="32"/>
          <w:szCs w:val="32"/>
          <w:u w:val="none" w:color="auto"/>
          <w:lang w:val="en-US" w:eastAsia="zh-CN"/>
        </w:rPr>
        <w:t>09</w:t>
      </w:r>
      <w:r>
        <w:rPr>
          <w:rFonts w:hint="default" w:ascii="Times New Roman" w:hAnsi="Times New Roman" w:eastAsia="仿宋_GB2312" w:cs="Times New Roman"/>
          <w:color w:val="000000"/>
          <w:kern w:val="0"/>
          <w:sz w:val="32"/>
          <w:szCs w:val="32"/>
          <w:u w:val="none" w:color="auto"/>
        </w:rPr>
        <w:t>万元</w:t>
      </w:r>
      <w:r>
        <w:rPr>
          <w:rFonts w:hint="default" w:ascii="Times New Roman" w:hAnsi="Times New Roman" w:eastAsia="仿宋_GB2312" w:cs="Times New Roman"/>
          <w:color w:val="000000"/>
          <w:kern w:val="0"/>
          <w:sz w:val="32"/>
          <w:szCs w:val="32"/>
          <w:u w:val="none" w:color="auto"/>
          <w:lang w:eastAsia="zh-CN"/>
        </w:rPr>
        <w:t>、其他交通工具购置</w:t>
      </w:r>
      <w:r>
        <w:rPr>
          <w:rFonts w:hint="default" w:ascii="Times New Roman" w:hAnsi="Times New Roman" w:eastAsia="仿宋_GB2312" w:cs="Times New Roman"/>
          <w:color w:val="000000"/>
          <w:kern w:val="0"/>
          <w:sz w:val="32"/>
          <w:szCs w:val="32"/>
          <w:u w:val="none" w:color="auto"/>
          <w:lang w:val="en-US" w:eastAsia="zh-CN"/>
        </w:rPr>
        <w:t>24.98万元</w:t>
      </w:r>
      <w:r>
        <w:rPr>
          <w:rFonts w:hint="default" w:ascii="Times New Roman" w:hAnsi="Times New Roman" w:eastAsia="仿宋_GB2312" w:cs="Times New Roman"/>
          <w:color w:val="000000"/>
          <w:kern w:val="0"/>
          <w:sz w:val="32"/>
          <w:szCs w:val="32"/>
          <w:u w:val="none" w:color="auto"/>
        </w:rPr>
        <w:t>。</w:t>
      </w:r>
    </w:p>
    <w:p w14:paraId="4C3D2170">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八、财政拨款“三公”经费支出决算情况说明</w:t>
      </w:r>
    </w:p>
    <w:p w14:paraId="3CF6B2BB">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kern w:val="0"/>
          <w:sz w:val="32"/>
          <w:szCs w:val="32"/>
          <w:u w:val="none" w:color="auto"/>
        </w:rPr>
        <w:t>（一）财政拨款“三公”经费支出总体情况说明。</w:t>
      </w:r>
    </w:p>
    <w:p w14:paraId="349D3A7D">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年度财政拨款“三公”经费全年预算</w:t>
      </w:r>
      <w:r>
        <w:rPr>
          <w:rFonts w:hint="default" w:ascii="Times New Roman" w:hAnsi="Times New Roman" w:eastAsia="Times New Roman" w:cs="Times New Roman"/>
          <w:color w:val="000000"/>
          <w:kern w:val="0"/>
          <w:sz w:val="32"/>
          <w:szCs w:val="32"/>
          <w:u w:val="none" w:color="auto"/>
        </w:rPr>
        <w:t>17.76</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Times New Roman" w:cs="Times New Roman"/>
          <w:color w:val="000000"/>
          <w:kern w:val="0"/>
          <w:sz w:val="32"/>
          <w:szCs w:val="32"/>
          <w:u w:val="none" w:color="auto"/>
        </w:rPr>
        <w:t>14.42</w:t>
      </w:r>
      <w:r>
        <w:rPr>
          <w:rFonts w:hint="default" w:ascii="Times New Roman" w:hAnsi="Times New Roman" w:eastAsia="仿宋_GB2312" w:cs="Times New Roman"/>
          <w:color w:val="000000"/>
          <w:kern w:val="0"/>
          <w:sz w:val="32"/>
          <w:szCs w:val="32"/>
          <w:u w:val="none" w:color="auto"/>
        </w:rPr>
        <w:t>万元，完成预算的</w:t>
      </w:r>
      <w:r>
        <w:rPr>
          <w:rFonts w:hint="default" w:ascii="Times New Roman" w:hAnsi="Times New Roman" w:eastAsia="Times New Roman" w:cs="Times New Roman"/>
          <w:color w:val="000000"/>
          <w:kern w:val="0"/>
          <w:sz w:val="32"/>
          <w:szCs w:val="32"/>
          <w:u w:val="none" w:color="auto"/>
        </w:rPr>
        <w:t>81.21</w:t>
      </w:r>
      <w:r>
        <w:rPr>
          <w:rFonts w:hint="default" w:ascii="Times New Roman" w:hAnsi="Times New Roman" w:eastAsia="仿宋_GB2312" w:cs="Times New Roman"/>
          <w:color w:val="000000"/>
          <w:kern w:val="0"/>
          <w:sz w:val="32"/>
          <w:szCs w:val="32"/>
          <w:u w:val="none" w:color="auto"/>
        </w:rPr>
        <w:t>%。其中：因公出国（境）费全年预算</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万元，完成预算的</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%；公务用车购置及运行维护费全年预算</w:t>
      </w:r>
      <w:r>
        <w:rPr>
          <w:rFonts w:hint="default" w:ascii="Times New Roman" w:hAnsi="Times New Roman" w:eastAsia="Times New Roman" w:cs="Times New Roman"/>
          <w:color w:val="000000"/>
          <w:kern w:val="0"/>
          <w:sz w:val="32"/>
          <w:szCs w:val="32"/>
          <w:u w:val="none" w:color="auto"/>
        </w:rPr>
        <w:t>15.26</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Times New Roman" w:cs="Times New Roman"/>
          <w:color w:val="000000"/>
          <w:kern w:val="0"/>
          <w:sz w:val="32"/>
          <w:szCs w:val="32"/>
          <w:u w:val="none" w:color="auto"/>
        </w:rPr>
        <w:t>12.82</w:t>
      </w:r>
      <w:r>
        <w:rPr>
          <w:rFonts w:hint="default" w:ascii="Times New Roman" w:hAnsi="Times New Roman" w:eastAsia="仿宋_GB2312" w:cs="Times New Roman"/>
          <w:color w:val="000000"/>
          <w:kern w:val="0"/>
          <w:sz w:val="32"/>
          <w:szCs w:val="32"/>
          <w:u w:val="none" w:color="auto"/>
        </w:rPr>
        <w:t>万元，完成预算的</w:t>
      </w:r>
      <w:r>
        <w:rPr>
          <w:rFonts w:hint="default" w:ascii="Times New Roman" w:hAnsi="Times New Roman" w:eastAsia="Times New Roman" w:cs="Times New Roman"/>
          <w:color w:val="000000"/>
          <w:kern w:val="0"/>
          <w:sz w:val="32"/>
          <w:szCs w:val="32"/>
          <w:u w:val="none" w:color="auto"/>
        </w:rPr>
        <w:t>84.02</w:t>
      </w:r>
      <w:r>
        <w:rPr>
          <w:rFonts w:hint="default" w:ascii="Times New Roman" w:hAnsi="Times New Roman" w:eastAsia="仿宋_GB2312" w:cs="Times New Roman"/>
          <w:color w:val="000000"/>
          <w:kern w:val="0"/>
          <w:sz w:val="32"/>
          <w:szCs w:val="32"/>
          <w:u w:val="none" w:color="auto"/>
        </w:rPr>
        <w:t>%；公务接待费全年预算</w:t>
      </w:r>
      <w:r>
        <w:rPr>
          <w:rFonts w:hint="default" w:ascii="Times New Roman" w:hAnsi="Times New Roman" w:eastAsia="Times New Roman" w:cs="Times New Roman"/>
          <w:color w:val="000000"/>
          <w:kern w:val="0"/>
          <w:sz w:val="32"/>
          <w:szCs w:val="32"/>
          <w:u w:val="none" w:color="auto"/>
        </w:rPr>
        <w:t>2.50</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Times New Roman" w:cs="Times New Roman"/>
          <w:color w:val="000000"/>
          <w:kern w:val="0"/>
          <w:sz w:val="32"/>
          <w:szCs w:val="32"/>
          <w:u w:val="none" w:color="auto"/>
        </w:rPr>
        <w:t>1.60</w:t>
      </w:r>
      <w:r>
        <w:rPr>
          <w:rFonts w:hint="default" w:ascii="Times New Roman" w:hAnsi="Times New Roman" w:eastAsia="仿宋_GB2312" w:cs="Times New Roman"/>
          <w:color w:val="000000"/>
          <w:kern w:val="0"/>
          <w:sz w:val="32"/>
          <w:szCs w:val="32"/>
          <w:u w:val="none" w:color="auto"/>
        </w:rPr>
        <w:t>万元，完成预算的</w:t>
      </w:r>
      <w:r>
        <w:rPr>
          <w:rFonts w:hint="default" w:ascii="Times New Roman" w:hAnsi="Times New Roman" w:eastAsia="Times New Roman" w:cs="Times New Roman"/>
          <w:color w:val="000000"/>
          <w:kern w:val="0"/>
          <w:sz w:val="32"/>
          <w:szCs w:val="32"/>
          <w:u w:val="none" w:color="auto"/>
        </w:rPr>
        <w:t>64.10</w:t>
      </w:r>
      <w:r>
        <w:rPr>
          <w:rFonts w:hint="default" w:ascii="Times New Roman" w:hAnsi="Times New Roman" w:eastAsia="仿宋_GB2312" w:cs="Times New Roman"/>
          <w:color w:val="000000"/>
          <w:kern w:val="0"/>
          <w:sz w:val="32"/>
          <w:szCs w:val="32"/>
          <w:u w:val="none" w:color="auto"/>
        </w:rPr>
        <w:t>%。2024年度一般公共预算财政拨款“三公”经费全年预算</w:t>
      </w:r>
      <w:r>
        <w:rPr>
          <w:rFonts w:hint="default" w:ascii="Times New Roman" w:hAnsi="Times New Roman" w:eastAsia="Times New Roman" w:cs="Times New Roman"/>
          <w:color w:val="000000"/>
          <w:kern w:val="0"/>
          <w:sz w:val="32"/>
          <w:szCs w:val="32"/>
          <w:u w:val="none" w:color="auto"/>
        </w:rPr>
        <w:t>17.76</w:t>
      </w:r>
      <w:r>
        <w:rPr>
          <w:rFonts w:hint="default" w:ascii="Times New Roman" w:hAnsi="Times New Roman" w:eastAsia="仿宋_GB2312" w:cs="Times New Roman"/>
          <w:color w:val="000000"/>
          <w:kern w:val="0"/>
          <w:sz w:val="32"/>
          <w:szCs w:val="32"/>
          <w:u w:val="none" w:color="auto"/>
        </w:rPr>
        <w:t>万元，支出决算</w:t>
      </w:r>
      <w:r>
        <w:rPr>
          <w:rFonts w:hint="default" w:ascii="Times New Roman" w:hAnsi="Times New Roman" w:eastAsia="Times New Roman" w:cs="Times New Roman"/>
          <w:color w:val="000000"/>
          <w:kern w:val="0"/>
          <w:sz w:val="32"/>
          <w:szCs w:val="32"/>
          <w:u w:val="none" w:color="auto"/>
        </w:rPr>
        <w:t>14.42</w:t>
      </w:r>
      <w:r>
        <w:rPr>
          <w:rFonts w:hint="default" w:ascii="Times New Roman" w:hAnsi="Times New Roman" w:eastAsia="仿宋_GB2312" w:cs="Times New Roman"/>
          <w:color w:val="000000"/>
          <w:kern w:val="0"/>
          <w:sz w:val="32"/>
          <w:szCs w:val="32"/>
          <w:u w:val="none" w:color="auto"/>
        </w:rPr>
        <w:t>万元，与预算差异原因</w:t>
      </w:r>
      <w:r>
        <w:rPr>
          <w:rFonts w:hint="default" w:ascii="Times New Roman" w:hAnsi="Times New Roman" w:eastAsia="仿宋_GB2312" w:cs="Times New Roman"/>
          <w:color w:val="000000"/>
          <w:kern w:val="0"/>
          <w:sz w:val="32"/>
          <w:szCs w:val="32"/>
          <w:u w:val="none" w:color="auto"/>
          <w:lang w:eastAsia="zh-CN"/>
        </w:rPr>
        <w:t>：</w:t>
      </w:r>
      <w:r>
        <w:rPr>
          <w:rFonts w:hint="default" w:ascii="Times New Roman" w:hAnsi="Times New Roman" w:eastAsia="仿宋_GB2312" w:cs="Times New Roman"/>
          <w:color w:val="000000"/>
          <w:kern w:val="0"/>
          <w:sz w:val="32"/>
          <w:szCs w:val="32"/>
          <w:u w:val="none" w:color="auto"/>
          <w:lang w:val="en-US" w:eastAsia="zh-CN"/>
        </w:rPr>
        <w:t>一是上年度末更新车辆一辆，新车运维费较旧车有所减少，二是本年度对上级部门督查检查组的接待费有所减少</w:t>
      </w:r>
      <w:r>
        <w:rPr>
          <w:rFonts w:hint="default" w:ascii="Times New Roman" w:hAnsi="Times New Roman" w:eastAsia="仿宋_GB2312" w:cs="Times New Roman"/>
          <w:color w:val="000000"/>
          <w:kern w:val="0"/>
          <w:sz w:val="32"/>
          <w:szCs w:val="32"/>
          <w:u w:val="none" w:color="auto"/>
        </w:rPr>
        <w:t>。</w:t>
      </w:r>
    </w:p>
    <w:p w14:paraId="0D2A72C8">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kern w:val="0"/>
          <w:sz w:val="32"/>
          <w:szCs w:val="32"/>
          <w:u w:val="none" w:color="auto"/>
        </w:rPr>
        <w:t>（二）财政拨款“三公”经费支出具体情况说明。</w:t>
      </w:r>
    </w:p>
    <w:p w14:paraId="02E2DF03">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年度财政拨款“三公”经费支出</w:t>
      </w:r>
      <w:r>
        <w:rPr>
          <w:rFonts w:hint="default" w:ascii="Times New Roman" w:hAnsi="Times New Roman" w:eastAsia="Times New Roman" w:cs="Times New Roman"/>
          <w:color w:val="000000"/>
          <w:kern w:val="0"/>
          <w:sz w:val="32"/>
          <w:szCs w:val="32"/>
          <w:u w:val="none" w:color="auto"/>
        </w:rPr>
        <w:t>14.42</w:t>
      </w:r>
      <w:r>
        <w:rPr>
          <w:rFonts w:hint="default" w:ascii="Times New Roman" w:hAnsi="Times New Roman" w:eastAsia="仿宋_GB2312" w:cs="Times New Roman"/>
          <w:color w:val="000000"/>
          <w:kern w:val="0"/>
          <w:sz w:val="32"/>
          <w:szCs w:val="32"/>
          <w:u w:val="none" w:color="auto"/>
        </w:rPr>
        <w:t>万元。因公出国（境）费支出</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%；公务用车购置及运行维护费支出</w:t>
      </w:r>
      <w:r>
        <w:rPr>
          <w:rFonts w:hint="default" w:ascii="Times New Roman" w:hAnsi="Times New Roman" w:eastAsia="Times New Roman" w:cs="Times New Roman"/>
          <w:color w:val="000000"/>
          <w:kern w:val="0"/>
          <w:sz w:val="32"/>
          <w:szCs w:val="32"/>
          <w:u w:val="none" w:color="auto"/>
        </w:rPr>
        <w:t>12.82</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 New Roman" w:cs="Times New Roman"/>
          <w:color w:val="000000"/>
          <w:kern w:val="0"/>
          <w:sz w:val="32"/>
          <w:szCs w:val="32"/>
          <w:u w:val="none" w:color="auto"/>
        </w:rPr>
        <w:t>88.</w:t>
      </w:r>
      <w:r>
        <w:rPr>
          <w:rFonts w:hint="eastAsia" w:ascii="Times New Roman" w:hAnsi="Times New Roman" w:eastAsia="宋体" w:cs="Times New Roman"/>
          <w:color w:val="000000"/>
          <w:kern w:val="0"/>
          <w:sz w:val="32"/>
          <w:szCs w:val="32"/>
          <w:u w:val="none" w:color="auto"/>
          <w:lang w:val="en-US" w:eastAsia="zh-CN"/>
        </w:rPr>
        <w:t>90</w:t>
      </w:r>
      <w:r>
        <w:rPr>
          <w:rFonts w:hint="default" w:ascii="Times New Roman" w:hAnsi="Times New Roman" w:eastAsia="仿宋_GB2312" w:cs="Times New Roman"/>
          <w:color w:val="000000"/>
          <w:kern w:val="0"/>
          <w:sz w:val="32"/>
          <w:szCs w:val="32"/>
          <w:u w:val="none" w:color="auto"/>
        </w:rPr>
        <w:t>%；公务接待费支出</w:t>
      </w:r>
      <w:r>
        <w:rPr>
          <w:rFonts w:hint="default" w:ascii="Times New Roman" w:hAnsi="Times New Roman" w:eastAsia="Times New Roman" w:cs="Times New Roman"/>
          <w:color w:val="000000"/>
          <w:kern w:val="0"/>
          <w:sz w:val="32"/>
          <w:szCs w:val="32"/>
          <w:u w:val="none" w:color="auto"/>
        </w:rPr>
        <w:t>1.60</w:t>
      </w:r>
      <w:r>
        <w:rPr>
          <w:rFonts w:hint="default" w:ascii="Times New Roman" w:hAnsi="Times New Roman" w:eastAsia="仿宋_GB2312" w:cs="Times New Roman"/>
          <w:color w:val="000000"/>
          <w:kern w:val="0"/>
          <w:sz w:val="32"/>
          <w:szCs w:val="32"/>
          <w:u w:val="none" w:color="auto"/>
        </w:rPr>
        <w:t>万元，占</w:t>
      </w:r>
      <w:r>
        <w:rPr>
          <w:rFonts w:hint="default" w:ascii="Times New Roman" w:hAnsi="Times New Roman" w:eastAsia="Times New Roman" w:cs="Times New Roman"/>
          <w:color w:val="000000"/>
          <w:kern w:val="0"/>
          <w:sz w:val="32"/>
          <w:szCs w:val="32"/>
          <w:u w:val="none" w:color="auto"/>
        </w:rPr>
        <w:t>11.1</w:t>
      </w:r>
      <w:r>
        <w:rPr>
          <w:rFonts w:hint="eastAsia" w:ascii="Times New Roman" w:hAnsi="Times New Roman" w:eastAsia="宋体" w:cs="Times New Roman"/>
          <w:color w:val="000000"/>
          <w:kern w:val="0"/>
          <w:sz w:val="32"/>
          <w:szCs w:val="32"/>
          <w:u w:val="none" w:color="auto"/>
          <w:lang w:val="en-US" w:eastAsia="zh-CN"/>
        </w:rPr>
        <w:t>0</w:t>
      </w:r>
      <w:r>
        <w:rPr>
          <w:rFonts w:hint="default" w:ascii="Times New Roman" w:hAnsi="Times New Roman" w:eastAsia="仿宋_GB2312" w:cs="Times New Roman"/>
          <w:color w:val="000000"/>
          <w:kern w:val="0"/>
          <w:sz w:val="32"/>
          <w:szCs w:val="32"/>
          <w:u w:val="none" w:color="auto"/>
        </w:rPr>
        <w:t>%。其中：</w:t>
      </w:r>
    </w:p>
    <w:p w14:paraId="5186E86C">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times_new_roman" w:cs="Times New Roman"/>
          <w:color w:val="000000"/>
          <w:kern w:val="0"/>
          <w:sz w:val="32"/>
          <w:szCs w:val="32"/>
          <w:u w:val="none" w:color="auto"/>
        </w:rPr>
        <w:t>1.</w:t>
      </w:r>
      <w:r>
        <w:rPr>
          <w:rFonts w:hint="default" w:ascii="Times New Roman" w:hAnsi="Times New Roman" w:eastAsia="仿宋_GB2312" w:cs="Times New Roman"/>
          <w:color w:val="000000"/>
          <w:kern w:val="0"/>
          <w:sz w:val="32"/>
          <w:szCs w:val="32"/>
          <w:u w:val="none" w:color="auto"/>
        </w:rPr>
        <w:t>因公出国（境）费支出</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万元，全年出国（境）团组</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个，累计</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人次。与上年决算相比，增加</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%，变动原因：本单位本年度无因公出国（境）费支出。</w:t>
      </w:r>
    </w:p>
    <w:p w14:paraId="395617FC">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times_new_roman" w:cs="Times New Roman"/>
          <w:color w:val="000000"/>
          <w:kern w:val="0"/>
          <w:sz w:val="32"/>
          <w:szCs w:val="32"/>
          <w:u w:val="none" w:color="auto"/>
        </w:rPr>
        <w:t>2.</w:t>
      </w:r>
      <w:r>
        <w:rPr>
          <w:rFonts w:hint="default" w:ascii="Times New Roman" w:hAnsi="Times New Roman" w:eastAsia="仿宋_GB2312" w:cs="Times New Roman"/>
          <w:color w:val="000000"/>
          <w:kern w:val="0"/>
          <w:sz w:val="32"/>
          <w:szCs w:val="32"/>
          <w:u w:val="none" w:color="auto"/>
        </w:rPr>
        <w:t>公务用车购置及运行维护费支出</w:t>
      </w:r>
      <w:r>
        <w:rPr>
          <w:rFonts w:hint="default" w:ascii="Times New Roman" w:hAnsi="Times New Roman" w:eastAsia="Times New Roman" w:cs="Times New Roman"/>
          <w:color w:val="000000"/>
          <w:kern w:val="0"/>
          <w:sz w:val="32"/>
          <w:szCs w:val="32"/>
          <w:u w:val="none" w:color="auto"/>
        </w:rPr>
        <w:t>12.82</w:t>
      </w:r>
      <w:r>
        <w:rPr>
          <w:rFonts w:hint="default" w:ascii="Times New Roman" w:hAnsi="Times New Roman" w:eastAsia="仿宋_GB2312" w:cs="Times New Roman"/>
          <w:color w:val="000000"/>
          <w:kern w:val="0"/>
          <w:sz w:val="32"/>
          <w:szCs w:val="32"/>
          <w:u w:val="none" w:color="auto"/>
        </w:rPr>
        <w:t>万元。其中：</w:t>
      </w:r>
    </w:p>
    <w:p w14:paraId="6924B24B">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（1）公务用车购置支出</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万元。本年度使用财政拨款购置公务用车</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辆，开支内容：无此项开支。与上年决算相比，增加</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%，变动原因：本单位本年度无公务用车购置支出。</w:t>
      </w:r>
    </w:p>
    <w:p w14:paraId="74C21BFB">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（2）公务用车运行维护费支出</w:t>
      </w:r>
      <w:r>
        <w:rPr>
          <w:rFonts w:hint="default" w:ascii="Times New Roman" w:hAnsi="Times New Roman" w:eastAsia="Times New Roman" w:cs="Times New Roman"/>
          <w:color w:val="000000"/>
          <w:kern w:val="0"/>
          <w:sz w:val="32"/>
          <w:szCs w:val="32"/>
          <w:u w:val="none" w:color="auto"/>
        </w:rPr>
        <w:t>12.82</w:t>
      </w:r>
      <w:r>
        <w:rPr>
          <w:rFonts w:hint="default" w:ascii="Times New Roman" w:hAnsi="Times New Roman" w:eastAsia="仿宋_GB2312" w:cs="Times New Roman"/>
          <w:color w:val="000000"/>
          <w:kern w:val="0"/>
          <w:sz w:val="32"/>
          <w:szCs w:val="32"/>
          <w:u w:val="none" w:color="auto"/>
        </w:rPr>
        <w:t>万元。公务用车运行维护费主要用于按规定保留的公务用车的燃料费、维修费、过桥过路费、保险费、安全奖励费用等支出。截至</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w:t>
      </w:r>
      <w:r>
        <w:rPr>
          <w:rFonts w:hint="default" w:ascii="Times New Roman" w:hAnsi="Times New Roman" w:eastAsia="times_new_roman" w:cs="Times New Roman"/>
          <w:color w:val="000000"/>
          <w:kern w:val="0"/>
          <w:sz w:val="32"/>
          <w:szCs w:val="32"/>
          <w:u w:val="none" w:color="auto"/>
        </w:rPr>
        <w:t>12</w:t>
      </w:r>
      <w:r>
        <w:rPr>
          <w:rFonts w:hint="default" w:ascii="Times New Roman" w:hAnsi="Times New Roman" w:eastAsia="仿宋_GB2312" w:cs="Times New Roman"/>
          <w:color w:val="000000"/>
          <w:kern w:val="0"/>
          <w:sz w:val="32"/>
          <w:szCs w:val="32"/>
          <w:u w:val="none" w:color="auto"/>
        </w:rPr>
        <w:t>月</w:t>
      </w:r>
      <w:r>
        <w:rPr>
          <w:rFonts w:hint="default" w:ascii="Times New Roman" w:hAnsi="Times New Roman" w:eastAsia="times_new_roman" w:cs="Times New Roman"/>
          <w:color w:val="000000"/>
          <w:kern w:val="0"/>
          <w:sz w:val="32"/>
          <w:szCs w:val="32"/>
          <w:u w:val="none" w:color="auto"/>
        </w:rPr>
        <w:t>31</w:t>
      </w:r>
      <w:r>
        <w:rPr>
          <w:rFonts w:hint="default" w:ascii="Times New Roman" w:hAnsi="Times New Roman" w:eastAsia="仿宋_GB2312" w:cs="Times New Roman"/>
          <w:color w:val="000000"/>
          <w:kern w:val="0"/>
          <w:sz w:val="32"/>
          <w:szCs w:val="32"/>
          <w:u w:val="none" w:color="auto"/>
        </w:rPr>
        <w:t>日，使用财政拨款开支的公务用车保有量为</w:t>
      </w:r>
      <w:r>
        <w:rPr>
          <w:rFonts w:hint="default" w:ascii="Times New Roman" w:hAnsi="Times New Roman" w:eastAsia="Times New Roman" w:cs="Times New Roman"/>
          <w:color w:val="000000"/>
          <w:kern w:val="0"/>
          <w:sz w:val="32"/>
          <w:szCs w:val="32"/>
          <w:u w:val="none" w:color="auto"/>
        </w:rPr>
        <w:t>3</w:t>
      </w:r>
      <w:r>
        <w:rPr>
          <w:rFonts w:hint="default" w:ascii="Times New Roman" w:hAnsi="Times New Roman" w:eastAsia="仿宋_GB2312" w:cs="Times New Roman"/>
          <w:color w:val="000000"/>
          <w:kern w:val="0"/>
          <w:sz w:val="32"/>
          <w:szCs w:val="32"/>
          <w:u w:val="none" w:color="auto"/>
        </w:rPr>
        <w:t>辆。与上年决算相比，增加</w:t>
      </w:r>
      <w:r>
        <w:rPr>
          <w:rFonts w:hint="default" w:ascii="Times New Roman" w:hAnsi="Times New Roman" w:eastAsia="Times New Roman" w:cs="Times New Roman"/>
          <w:color w:val="000000"/>
          <w:kern w:val="0"/>
          <w:sz w:val="32"/>
          <w:szCs w:val="32"/>
          <w:u w:val="none" w:color="auto"/>
        </w:rPr>
        <w:t>0.27</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2.12</w:t>
      </w:r>
      <w:r>
        <w:rPr>
          <w:rFonts w:hint="default" w:ascii="Times New Roman" w:hAnsi="Times New Roman" w:eastAsia="仿宋_GB2312" w:cs="Times New Roman"/>
          <w:color w:val="000000"/>
          <w:kern w:val="0"/>
          <w:sz w:val="32"/>
          <w:szCs w:val="32"/>
          <w:u w:val="none" w:color="auto"/>
        </w:rPr>
        <w:t>%，变动原因：</w:t>
      </w:r>
      <w:r>
        <w:rPr>
          <w:rFonts w:hint="default" w:ascii="Times New Roman" w:hAnsi="Times New Roman" w:eastAsia="仿宋_GB2312" w:cs="Times New Roman"/>
          <w:color w:val="000000"/>
          <w:kern w:val="0"/>
          <w:sz w:val="32"/>
          <w:szCs w:val="32"/>
          <w:u w:val="none" w:color="auto"/>
          <w:lang w:val="en-US" w:eastAsia="zh-CN"/>
        </w:rPr>
        <w:t>本年度下半年新增公车一辆，运行费略有增加</w:t>
      </w:r>
      <w:r>
        <w:rPr>
          <w:rFonts w:hint="default" w:ascii="Times New Roman" w:hAnsi="Times New Roman" w:eastAsia="仿宋_GB2312" w:cs="Times New Roman"/>
          <w:color w:val="000000"/>
          <w:kern w:val="0"/>
          <w:sz w:val="32"/>
          <w:szCs w:val="32"/>
          <w:u w:val="none" w:color="auto"/>
        </w:rPr>
        <w:t>。</w:t>
      </w:r>
    </w:p>
    <w:p w14:paraId="496FD011">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3.公务接待费支出</w:t>
      </w:r>
      <w:r>
        <w:rPr>
          <w:rFonts w:hint="default" w:ascii="Times New Roman" w:hAnsi="Times New Roman" w:eastAsia="Times New Roman" w:cs="Times New Roman"/>
          <w:color w:val="000000"/>
          <w:kern w:val="0"/>
          <w:sz w:val="32"/>
          <w:szCs w:val="32"/>
          <w:u w:val="none" w:color="auto"/>
        </w:rPr>
        <w:t>1.60</w:t>
      </w:r>
      <w:r>
        <w:rPr>
          <w:rFonts w:hint="default" w:ascii="Times New Roman" w:hAnsi="Times New Roman" w:eastAsia="仿宋_GB2312" w:cs="Times New Roman"/>
          <w:color w:val="000000"/>
          <w:kern w:val="0"/>
          <w:sz w:val="32"/>
          <w:szCs w:val="32"/>
          <w:u w:val="none" w:color="auto"/>
        </w:rPr>
        <w:t>万元。其中：国内公务接待支出</w:t>
      </w:r>
      <w:r>
        <w:rPr>
          <w:rFonts w:hint="default" w:ascii="Times New Roman" w:hAnsi="Times New Roman" w:eastAsia="Times New Roman" w:cs="Times New Roman"/>
          <w:color w:val="000000"/>
          <w:kern w:val="0"/>
          <w:sz w:val="32"/>
          <w:szCs w:val="32"/>
          <w:u w:val="none" w:color="auto"/>
        </w:rPr>
        <w:t>1.60</w:t>
      </w:r>
      <w:r>
        <w:rPr>
          <w:rFonts w:hint="default" w:ascii="Times New Roman" w:hAnsi="Times New Roman" w:eastAsia="仿宋_GB2312" w:cs="Times New Roman"/>
          <w:color w:val="000000"/>
          <w:kern w:val="0"/>
          <w:sz w:val="32"/>
          <w:szCs w:val="32"/>
          <w:u w:val="none" w:color="auto"/>
        </w:rPr>
        <w:t>万元，接待</w:t>
      </w:r>
      <w:r>
        <w:rPr>
          <w:rFonts w:hint="default" w:ascii="Times New Roman" w:hAnsi="Times New Roman" w:eastAsia="Times New Roman" w:cs="Times New Roman"/>
          <w:color w:val="000000"/>
          <w:kern w:val="0"/>
          <w:sz w:val="32"/>
          <w:szCs w:val="32"/>
          <w:u w:val="none" w:color="auto"/>
        </w:rPr>
        <w:t>17</w:t>
      </w:r>
      <w:r>
        <w:rPr>
          <w:rFonts w:hint="default" w:ascii="Times New Roman" w:hAnsi="Times New Roman" w:eastAsia="仿宋_GB2312" w:cs="Times New Roman"/>
          <w:color w:val="000000"/>
          <w:kern w:val="0"/>
          <w:sz w:val="32"/>
          <w:szCs w:val="32"/>
          <w:u w:val="none" w:color="auto"/>
        </w:rPr>
        <w:t>批次，</w:t>
      </w:r>
      <w:r>
        <w:rPr>
          <w:rFonts w:hint="default" w:ascii="Times New Roman" w:hAnsi="Times New Roman" w:eastAsia="Times New Roman" w:cs="Times New Roman"/>
          <w:color w:val="000000"/>
          <w:kern w:val="0"/>
          <w:sz w:val="32"/>
          <w:szCs w:val="32"/>
          <w:u w:val="none" w:color="auto"/>
        </w:rPr>
        <w:t>140</w:t>
      </w:r>
      <w:r>
        <w:rPr>
          <w:rFonts w:hint="default" w:ascii="Times New Roman" w:hAnsi="Times New Roman" w:eastAsia="仿宋_GB2312" w:cs="Times New Roman"/>
          <w:color w:val="000000"/>
          <w:kern w:val="0"/>
          <w:sz w:val="32"/>
          <w:szCs w:val="32"/>
          <w:u w:val="none" w:color="auto"/>
        </w:rPr>
        <w:t>人次，开支内容：来访人员工作用餐费用支出；国（境）外公务接待支出</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万元，接待</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批次，</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人次，开支内容：无此项开支。与上年决算相比，减少</w:t>
      </w:r>
      <w:r>
        <w:rPr>
          <w:rFonts w:hint="default" w:ascii="Times New Roman" w:hAnsi="Times New Roman" w:eastAsia="Times New Roman" w:cs="Times New Roman"/>
          <w:color w:val="000000"/>
          <w:kern w:val="0"/>
          <w:sz w:val="32"/>
          <w:szCs w:val="32"/>
          <w:u w:val="none" w:color="auto"/>
        </w:rPr>
        <w:t>0.90</w:t>
      </w:r>
      <w:r>
        <w:rPr>
          <w:rFonts w:hint="default" w:ascii="Times New Roman" w:hAnsi="Times New Roman" w:eastAsia="仿宋_GB2312" w:cs="Times New Roman"/>
          <w:color w:val="000000"/>
          <w:kern w:val="0"/>
          <w:sz w:val="32"/>
          <w:szCs w:val="32"/>
          <w:u w:val="none" w:color="auto"/>
        </w:rPr>
        <w:t>万元，下降</w:t>
      </w:r>
      <w:r>
        <w:rPr>
          <w:rFonts w:hint="default" w:ascii="Times New Roman" w:hAnsi="Times New Roman" w:eastAsia="Times New Roman" w:cs="Times New Roman"/>
          <w:color w:val="000000"/>
          <w:kern w:val="0"/>
          <w:sz w:val="32"/>
          <w:szCs w:val="32"/>
          <w:u w:val="none" w:color="auto"/>
        </w:rPr>
        <w:t>35.90</w:t>
      </w:r>
      <w:r>
        <w:rPr>
          <w:rFonts w:hint="default" w:ascii="Times New Roman" w:hAnsi="Times New Roman" w:eastAsia="仿宋_GB2312" w:cs="Times New Roman"/>
          <w:color w:val="000000"/>
          <w:kern w:val="0"/>
          <w:sz w:val="32"/>
          <w:szCs w:val="32"/>
          <w:u w:val="none" w:color="auto"/>
        </w:rPr>
        <w:t>%，变动原因：</w:t>
      </w:r>
      <w:r>
        <w:rPr>
          <w:rFonts w:hint="default" w:ascii="Times New Roman" w:hAnsi="Times New Roman" w:eastAsia="仿宋_GB2312" w:cs="Times New Roman"/>
          <w:color w:val="000000"/>
          <w:kern w:val="0"/>
          <w:sz w:val="32"/>
          <w:szCs w:val="32"/>
          <w:u w:val="none" w:color="auto"/>
          <w:lang w:val="en-US" w:eastAsia="zh-CN"/>
        </w:rPr>
        <w:t>本年度来访人员有所减少，接待费相应减少</w:t>
      </w:r>
      <w:r>
        <w:rPr>
          <w:rFonts w:hint="default" w:ascii="Times New Roman" w:hAnsi="Times New Roman" w:eastAsia="仿宋_GB2312" w:cs="Times New Roman"/>
          <w:color w:val="000000"/>
          <w:kern w:val="0"/>
          <w:sz w:val="32"/>
          <w:szCs w:val="32"/>
          <w:u w:val="none" w:color="auto"/>
        </w:rPr>
        <w:t>。</w:t>
      </w:r>
    </w:p>
    <w:p w14:paraId="5DBFD915">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九、政府性基金预算财政拨款支出决算情况说明</w:t>
      </w:r>
    </w:p>
    <w:p w14:paraId="2A89733D">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年度政府性基金预算财政拨款支出决算</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万元。与上年决算相比，增加</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%，变动原因：本单位本年度无政府性基金预算财政拨款收、支、余。</w:t>
      </w:r>
    </w:p>
    <w:p w14:paraId="43F86E66">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十、国有资本经营预算财政拨款支出决算情况说明</w:t>
      </w:r>
    </w:p>
    <w:p w14:paraId="5CB029ED">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年度国有资本经营预算财政拨款支出决算</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万元。与上年决算相比，增加</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万元，增长</w:t>
      </w:r>
      <w:r>
        <w:rPr>
          <w:rFonts w:hint="default" w:ascii="Times New Roman" w:hAnsi="Times New Roman" w:eastAsia="Times New 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%，变动原因：本单位本年度无国有资本经营预算财政拨款收、支、余。</w:t>
      </w:r>
    </w:p>
    <w:p w14:paraId="0195C422">
      <w:pPr>
        <w:widowControl/>
        <w:spacing w:before="240" w:after="240"/>
        <w:ind w:firstLine="643"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十一、机关运行经费（公用经费）支出决算情况说明</w:t>
      </w:r>
    </w:p>
    <w:p w14:paraId="4AA29F0C">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仿宋_GB2312" w:cs="Times New Roman"/>
          <w:color w:val="000000"/>
          <w:kern w:val="0"/>
          <w:sz w:val="32"/>
          <w:szCs w:val="32"/>
          <w:u w:val="none" w:color="auto"/>
        </w:rPr>
        <w:t>2024年度公用经费支出决算</w:t>
      </w:r>
      <w:r>
        <w:rPr>
          <w:rFonts w:hint="default" w:ascii="Times New Roman" w:hAnsi="Times New Roman" w:eastAsia="Times New Roman" w:cs="Times New Roman"/>
          <w:color w:val="000000"/>
          <w:kern w:val="0"/>
          <w:sz w:val="32"/>
          <w:szCs w:val="32"/>
          <w:u w:val="none" w:color="auto"/>
        </w:rPr>
        <w:t>150.80</w:t>
      </w:r>
      <w:r>
        <w:rPr>
          <w:rFonts w:hint="default" w:ascii="Times New Roman" w:hAnsi="Times New Roman" w:eastAsia="仿宋_GB2312" w:cs="Times New Roman"/>
          <w:color w:val="000000"/>
          <w:kern w:val="0"/>
          <w:sz w:val="32"/>
          <w:szCs w:val="32"/>
          <w:u w:val="none" w:color="auto"/>
        </w:rPr>
        <w:t>万元，与上年决算相比，减少</w:t>
      </w:r>
      <w:r>
        <w:rPr>
          <w:rFonts w:hint="default" w:ascii="Times New Roman" w:hAnsi="Times New Roman" w:eastAsia="Times New Roman" w:cs="Times New Roman"/>
          <w:color w:val="000000"/>
          <w:kern w:val="0"/>
          <w:sz w:val="32"/>
          <w:szCs w:val="32"/>
          <w:u w:val="none" w:color="auto"/>
        </w:rPr>
        <w:t>20.04</w:t>
      </w:r>
      <w:r>
        <w:rPr>
          <w:rFonts w:hint="default" w:ascii="Times New Roman" w:hAnsi="Times New Roman" w:eastAsia="仿宋_GB2312" w:cs="Times New Roman"/>
          <w:color w:val="000000"/>
          <w:kern w:val="0"/>
          <w:sz w:val="32"/>
          <w:szCs w:val="32"/>
          <w:u w:val="none" w:color="auto"/>
        </w:rPr>
        <w:t>万元，下降</w:t>
      </w:r>
      <w:r>
        <w:rPr>
          <w:rFonts w:hint="default" w:ascii="Times New Roman" w:hAnsi="Times New Roman" w:eastAsia="Times New Roman" w:cs="Times New Roman"/>
          <w:color w:val="000000"/>
          <w:kern w:val="0"/>
          <w:sz w:val="32"/>
          <w:szCs w:val="32"/>
          <w:u w:val="none" w:color="auto"/>
        </w:rPr>
        <w:t>11.73</w:t>
      </w:r>
      <w:r>
        <w:rPr>
          <w:rFonts w:hint="default" w:ascii="Times New Roman" w:hAnsi="Times New Roman" w:eastAsia="仿宋_GB2312" w:cs="Times New Roman"/>
          <w:color w:val="000000"/>
          <w:kern w:val="0"/>
          <w:sz w:val="32"/>
          <w:szCs w:val="32"/>
          <w:u w:val="none" w:color="auto"/>
        </w:rPr>
        <w:t>%，变动原因：</w:t>
      </w:r>
      <w:r>
        <w:rPr>
          <w:rFonts w:hint="eastAsia" w:ascii="Times New Roman" w:hAnsi="Times New Roman" w:eastAsia="仿宋_GB2312" w:cs="Times New Roman"/>
          <w:color w:val="000000"/>
          <w:kern w:val="0"/>
          <w:sz w:val="32"/>
          <w:szCs w:val="32"/>
          <w:u w:val="none" w:color="auto"/>
          <w:lang w:val="en-US" w:eastAsia="zh-CN"/>
        </w:rPr>
        <w:t>上年度支出领导干部2022年度考核奖励经费44.14万元，本年度无此项支出</w:t>
      </w:r>
      <w:r>
        <w:rPr>
          <w:rFonts w:hint="default" w:ascii="Times New Roman" w:hAnsi="Times New Roman" w:eastAsia="仿宋_GB2312" w:cs="Times New Roman"/>
          <w:color w:val="000000"/>
          <w:kern w:val="0"/>
          <w:sz w:val="32"/>
          <w:szCs w:val="32"/>
          <w:u w:val="none" w:color="auto"/>
        </w:rPr>
        <w:t>。其中，机关运行经费支出决算</w:t>
      </w:r>
      <w:r>
        <w:rPr>
          <w:rFonts w:hint="default" w:ascii="Times New Roman" w:hAnsi="Times New Roman" w:eastAsia="Times New Roman" w:cs="Times New Roman"/>
          <w:color w:val="000000"/>
          <w:kern w:val="0"/>
          <w:sz w:val="32"/>
          <w:szCs w:val="32"/>
          <w:u w:val="none" w:color="auto"/>
        </w:rPr>
        <w:t>149.15</w:t>
      </w:r>
      <w:r>
        <w:rPr>
          <w:rFonts w:hint="default" w:ascii="Times New Roman" w:hAnsi="Times New Roman" w:eastAsia="仿宋_GB2312" w:cs="Times New Roman"/>
          <w:color w:val="000000"/>
          <w:kern w:val="0"/>
          <w:sz w:val="32"/>
          <w:szCs w:val="32"/>
          <w:u w:val="none" w:color="auto"/>
        </w:rPr>
        <w:t>万元。比上年决算相比，减少</w:t>
      </w:r>
      <w:r>
        <w:rPr>
          <w:rFonts w:hint="default" w:ascii="Times New Roman" w:hAnsi="Times New Roman" w:eastAsia="Times New Roman" w:cs="Times New Roman"/>
          <w:color w:val="000000"/>
          <w:kern w:val="0"/>
          <w:sz w:val="32"/>
          <w:szCs w:val="32"/>
          <w:u w:val="none" w:color="auto"/>
        </w:rPr>
        <w:t>15.39</w:t>
      </w:r>
      <w:r>
        <w:rPr>
          <w:rFonts w:hint="default" w:ascii="Times New Roman" w:hAnsi="Times New Roman" w:eastAsia="仿宋_GB2312" w:cs="Times New Roman"/>
          <w:color w:val="000000"/>
          <w:kern w:val="0"/>
          <w:sz w:val="32"/>
          <w:szCs w:val="32"/>
          <w:u w:val="none" w:color="auto"/>
        </w:rPr>
        <w:t>万元，下降</w:t>
      </w:r>
      <w:r>
        <w:rPr>
          <w:rFonts w:hint="default" w:ascii="Times New Roman" w:hAnsi="Times New Roman" w:eastAsia="Times New Roman" w:cs="Times New Roman"/>
          <w:color w:val="000000"/>
          <w:kern w:val="0"/>
          <w:sz w:val="32"/>
          <w:szCs w:val="32"/>
          <w:u w:val="none" w:color="auto"/>
        </w:rPr>
        <w:t>9.35</w:t>
      </w:r>
      <w:r>
        <w:rPr>
          <w:rFonts w:hint="default" w:ascii="Times New Roman" w:hAnsi="Times New Roman" w:eastAsia="仿宋_GB2312" w:cs="Times New Roman"/>
          <w:color w:val="000000"/>
          <w:kern w:val="0"/>
          <w:sz w:val="32"/>
          <w:szCs w:val="32"/>
          <w:u w:val="none" w:color="auto"/>
        </w:rPr>
        <w:t>%，变动原因：</w:t>
      </w:r>
      <w:r>
        <w:rPr>
          <w:rFonts w:hint="eastAsia" w:ascii="Times New Roman" w:hAnsi="Times New Roman" w:eastAsia="仿宋_GB2312" w:cs="Times New Roman"/>
          <w:color w:val="000000"/>
          <w:kern w:val="0"/>
          <w:sz w:val="32"/>
          <w:szCs w:val="32"/>
          <w:u w:val="none" w:color="auto"/>
          <w:lang w:val="en-US" w:eastAsia="zh-CN"/>
        </w:rPr>
        <w:t>本年度因补助对象调整，其他交通费减少较多</w:t>
      </w:r>
      <w:r>
        <w:rPr>
          <w:rFonts w:hint="default" w:ascii="Times New Roman" w:hAnsi="Times New Roman" w:eastAsia="仿宋_GB2312" w:cs="Times New Roman"/>
          <w:color w:val="000000"/>
          <w:kern w:val="0"/>
          <w:sz w:val="32"/>
          <w:szCs w:val="32"/>
          <w:u w:val="none" w:color="auto"/>
        </w:rPr>
        <w:t>。</w:t>
      </w:r>
    </w:p>
    <w:p w14:paraId="358A6605">
      <w:pPr>
        <w:widowControl/>
        <w:spacing w:before="240" w:after="240"/>
        <w:ind w:firstLine="643"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十二、政府采购支出决算情况说明</w:t>
      </w:r>
    </w:p>
    <w:p w14:paraId="246124BE">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年度政府采购支出总额</w:t>
      </w:r>
      <w:r>
        <w:rPr>
          <w:rFonts w:hint="default" w:ascii="Times New Roman" w:hAnsi="Times New Roman" w:eastAsia="times_new_roman" w:cs="Times New Roman"/>
          <w:color w:val="000000"/>
          <w:kern w:val="0"/>
          <w:sz w:val="32"/>
          <w:szCs w:val="32"/>
          <w:u w:val="none" w:color="auto"/>
        </w:rPr>
        <w:t>979.38</w:t>
      </w:r>
      <w:r>
        <w:rPr>
          <w:rFonts w:hint="default" w:ascii="Times New Roman" w:hAnsi="Times New Roman" w:eastAsia="仿宋_GB2312" w:cs="Times New Roman"/>
          <w:color w:val="000000"/>
          <w:kern w:val="0"/>
          <w:sz w:val="32"/>
          <w:szCs w:val="32"/>
          <w:u w:val="none" w:color="auto"/>
        </w:rPr>
        <w:t>万元，其中：政府采购货物支出</w:t>
      </w:r>
      <w:r>
        <w:rPr>
          <w:rFonts w:hint="default" w:ascii="Times New Roman" w:hAnsi="Times New Roman" w:eastAsia="times_new_roman" w:cs="Times New Roman"/>
          <w:color w:val="000000"/>
          <w:kern w:val="0"/>
          <w:sz w:val="32"/>
          <w:szCs w:val="32"/>
          <w:u w:val="none" w:color="auto"/>
        </w:rPr>
        <w:t>37.00</w:t>
      </w:r>
      <w:r>
        <w:rPr>
          <w:rFonts w:hint="default" w:ascii="Times New Roman" w:hAnsi="Times New Roman" w:eastAsia="仿宋_GB2312" w:cs="Times New Roman"/>
          <w:color w:val="000000"/>
          <w:kern w:val="0"/>
          <w:sz w:val="32"/>
          <w:szCs w:val="32"/>
          <w:u w:val="none" w:color="auto"/>
        </w:rPr>
        <w:t>万元、政府采购工程支出</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万元、政府采购服务支出</w:t>
      </w:r>
      <w:r>
        <w:rPr>
          <w:rFonts w:hint="default" w:ascii="Times New Roman" w:hAnsi="Times New Roman" w:eastAsia="times_new_roman" w:cs="Times New Roman"/>
          <w:color w:val="000000"/>
          <w:kern w:val="0"/>
          <w:sz w:val="32"/>
          <w:szCs w:val="32"/>
          <w:u w:val="none" w:color="auto"/>
        </w:rPr>
        <w:t>942.38</w:t>
      </w:r>
      <w:r>
        <w:rPr>
          <w:rFonts w:hint="default" w:ascii="Times New Roman" w:hAnsi="Times New Roman" w:eastAsia="仿宋_GB2312" w:cs="Times New Roman"/>
          <w:color w:val="000000"/>
          <w:kern w:val="0"/>
          <w:sz w:val="32"/>
          <w:szCs w:val="32"/>
          <w:u w:val="none" w:color="auto"/>
        </w:rPr>
        <w:t>万元。政府采购授予中小企业合同金额</w:t>
      </w:r>
      <w:r>
        <w:rPr>
          <w:rFonts w:hint="default" w:ascii="Times New Roman" w:hAnsi="Times New Roman" w:eastAsia="times_new_roman" w:cs="Times New Roman"/>
          <w:color w:val="000000"/>
          <w:kern w:val="0"/>
          <w:sz w:val="32"/>
          <w:szCs w:val="32"/>
          <w:u w:val="none" w:color="auto"/>
        </w:rPr>
        <w:t>46.64</w:t>
      </w:r>
      <w:r>
        <w:rPr>
          <w:rFonts w:hint="default" w:ascii="Times New Roman" w:hAnsi="Times New Roman" w:eastAsia="仿宋_GB2312" w:cs="Times New Roman"/>
          <w:color w:val="000000"/>
          <w:kern w:val="0"/>
          <w:sz w:val="32"/>
          <w:szCs w:val="32"/>
          <w:u w:val="none" w:color="auto"/>
        </w:rPr>
        <w:t>万元，占政府采购支出总额的</w:t>
      </w:r>
      <w:r>
        <w:rPr>
          <w:rFonts w:hint="default" w:ascii="Times New Roman" w:hAnsi="Times New Roman" w:cs="Times New Roman"/>
          <w:color w:val="000000"/>
          <w:kern w:val="0"/>
          <w:sz w:val="32"/>
          <w:szCs w:val="32"/>
          <w:u w:val="none" w:color="auto"/>
          <w:lang w:val="en-US" w:eastAsia="zh-CN"/>
        </w:rPr>
        <w:t>4.76</w:t>
      </w:r>
      <w:r>
        <w:rPr>
          <w:rFonts w:hint="default" w:ascii="Times New Roman" w:hAnsi="Times New Roman" w:eastAsia="仿宋_GB2312" w:cs="Times New Roman"/>
          <w:color w:val="000000"/>
          <w:kern w:val="0"/>
          <w:sz w:val="32"/>
          <w:szCs w:val="32"/>
          <w:u w:val="none" w:color="auto"/>
        </w:rPr>
        <w:t>%，其中：授予小微企业合同金额</w:t>
      </w:r>
      <w:r>
        <w:rPr>
          <w:rFonts w:hint="default" w:ascii="Times New Roman" w:hAnsi="Times New Roman" w:eastAsia="times_new_roman" w:cs="Times New Roman"/>
          <w:color w:val="000000"/>
          <w:kern w:val="0"/>
          <w:sz w:val="32"/>
          <w:szCs w:val="32"/>
          <w:u w:val="none" w:color="auto"/>
        </w:rPr>
        <w:t>  46.00</w:t>
      </w:r>
      <w:r>
        <w:rPr>
          <w:rFonts w:hint="default" w:ascii="Times New Roman" w:hAnsi="Times New Roman" w:eastAsia="仿宋_GB2312" w:cs="Times New Roman"/>
          <w:color w:val="000000"/>
          <w:kern w:val="0"/>
          <w:sz w:val="32"/>
          <w:szCs w:val="32"/>
          <w:u w:val="none" w:color="auto"/>
        </w:rPr>
        <w:t>万元，占政府采购支出总额的</w:t>
      </w:r>
      <w:r>
        <w:rPr>
          <w:rFonts w:hint="default" w:ascii="Times New Roman" w:hAnsi="Times New Roman" w:cs="Times New Roman"/>
          <w:color w:val="000000"/>
          <w:kern w:val="0"/>
          <w:sz w:val="32"/>
          <w:szCs w:val="32"/>
          <w:u w:val="none" w:color="auto"/>
          <w:lang w:val="en-US" w:eastAsia="zh-CN"/>
        </w:rPr>
        <w:t>4.70</w:t>
      </w:r>
      <w:r>
        <w:rPr>
          <w:rFonts w:hint="default" w:ascii="Times New Roman" w:hAnsi="Times New Roman" w:eastAsia="仿宋_GB2312" w:cs="Times New Roman"/>
          <w:color w:val="000000"/>
          <w:kern w:val="0"/>
          <w:sz w:val="32"/>
          <w:szCs w:val="32"/>
          <w:u w:val="none" w:color="auto"/>
        </w:rPr>
        <w:t>%；货物采购授予中小企业合同金额占货物支出金额的</w:t>
      </w:r>
      <w:r>
        <w:rPr>
          <w:rFonts w:hint="eastAsia" w:ascii="Times New Roman" w:hAnsi="Times New Roman" w:eastAsia="宋体" w:cs="Times New Roman"/>
          <w:color w:val="000000"/>
          <w:kern w:val="0"/>
          <w:sz w:val="32"/>
          <w:szCs w:val="32"/>
          <w:u w:val="none" w:color="auto"/>
          <w:lang w:val="en-US" w:eastAsia="zh-CN"/>
        </w:rPr>
        <w:t>60.93</w:t>
      </w:r>
      <w:r>
        <w:rPr>
          <w:rFonts w:hint="default" w:ascii="Times New Roman" w:hAnsi="Times New Roman" w:eastAsia="仿宋_GB2312" w:cs="Times New Roman"/>
          <w:color w:val="000000"/>
          <w:kern w:val="0"/>
          <w:sz w:val="32"/>
          <w:szCs w:val="32"/>
          <w:u w:val="none" w:color="auto"/>
        </w:rPr>
        <w:t>%，工程采购授予中小企业合同金额占工程支出金额的</w:t>
      </w:r>
      <w:r>
        <w:rPr>
          <w:rFonts w:hint="eastAsia" w:ascii="Times New Roman" w:hAnsi="Times New Roman" w:eastAsia="宋体"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%，服务采购授予中小企业合同金额占服务支出金额的</w:t>
      </w:r>
      <w:r>
        <w:rPr>
          <w:rFonts w:hint="eastAsia" w:ascii="Times New Roman" w:hAnsi="Times New Roman" w:eastAsia="宋体" w:cs="Times New Roman"/>
          <w:color w:val="000000"/>
          <w:kern w:val="0"/>
          <w:sz w:val="32"/>
          <w:szCs w:val="32"/>
          <w:u w:val="none" w:color="auto"/>
          <w:lang w:val="en-US" w:eastAsia="zh-CN"/>
        </w:rPr>
        <w:t>39.07</w:t>
      </w:r>
      <w:r>
        <w:rPr>
          <w:rFonts w:hint="default" w:ascii="Times New Roman" w:hAnsi="Times New Roman" w:eastAsia="仿宋_GB2312" w:cs="Times New Roman"/>
          <w:color w:val="000000"/>
          <w:kern w:val="0"/>
          <w:sz w:val="32"/>
          <w:szCs w:val="32"/>
          <w:u w:val="none" w:color="auto"/>
        </w:rPr>
        <w:t>%。</w:t>
      </w:r>
    </w:p>
    <w:p w14:paraId="254C1E82">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十三、国有资产占用情况说明</w:t>
      </w:r>
    </w:p>
    <w:p w14:paraId="1FCAB13E">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仿宋_GB2312" w:cs="Times New Roman"/>
          <w:color w:val="000000"/>
          <w:kern w:val="0"/>
          <w:sz w:val="32"/>
          <w:szCs w:val="32"/>
          <w:u w:val="none" w:color="auto"/>
        </w:rPr>
        <w:t>截至</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w:t>
      </w:r>
      <w:r>
        <w:rPr>
          <w:rFonts w:hint="default" w:ascii="Times New Roman" w:hAnsi="Times New Roman" w:eastAsia="times_new_roman" w:cs="Times New Roman"/>
          <w:color w:val="000000"/>
          <w:kern w:val="0"/>
          <w:sz w:val="32"/>
          <w:szCs w:val="32"/>
          <w:u w:val="none" w:color="auto"/>
        </w:rPr>
        <w:t>12</w:t>
      </w:r>
      <w:r>
        <w:rPr>
          <w:rFonts w:hint="default" w:ascii="Times New Roman" w:hAnsi="Times New Roman" w:eastAsia="仿宋_GB2312" w:cs="Times New Roman"/>
          <w:color w:val="000000"/>
          <w:kern w:val="0"/>
          <w:sz w:val="32"/>
          <w:szCs w:val="32"/>
          <w:u w:val="none" w:color="auto"/>
        </w:rPr>
        <w:t>月</w:t>
      </w:r>
      <w:r>
        <w:rPr>
          <w:rFonts w:hint="default" w:ascii="Times New Roman" w:hAnsi="Times New Roman" w:eastAsia="times_new_roman" w:cs="Times New Roman"/>
          <w:color w:val="000000"/>
          <w:kern w:val="0"/>
          <w:sz w:val="32"/>
          <w:szCs w:val="32"/>
          <w:u w:val="none" w:color="auto"/>
        </w:rPr>
        <w:t>31</w:t>
      </w:r>
      <w:r>
        <w:rPr>
          <w:rFonts w:hint="default" w:ascii="Times New Roman" w:hAnsi="Times New Roman" w:eastAsia="仿宋_GB2312" w:cs="Times New Roman"/>
          <w:color w:val="000000"/>
          <w:kern w:val="0"/>
          <w:sz w:val="32"/>
          <w:szCs w:val="32"/>
          <w:u w:val="none" w:color="auto"/>
        </w:rPr>
        <w:t>日，本单位共有车辆</w:t>
      </w:r>
      <w:r>
        <w:rPr>
          <w:rFonts w:hint="default" w:ascii="Times New Roman" w:hAnsi="Times New Roman" w:eastAsia="times_new_roman" w:cs="Times New Roman"/>
          <w:color w:val="000000"/>
          <w:kern w:val="0"/>
          <w:sz w:val="32"/>
          <w:szCs w:val="32"/>
          <w:u w:val="none" w:color="auto"/>
        </w:rPr>
        <w:t>10</w:t>
      </w:r>
      <w:r>
        <w:rPr>
          <w:rFonts w:hint="default" w:ascii="Times New Roman" w:hAnsi="Times New Roman" w:eastAsia="仿宋_GB2312" w:cs="Times New Roman"/>
          <w:color w:val="000000"/>
          <w:kern w:val="0"/>
          <w:sz w:val="32"/>
          <w:szCs w:val="32"/>
          <w:u w:val="none" w:color="auto"/>
        </w:rPr>
        <w:t>辆，其中：副部（省）级及以上领导用车</w:t>
      </w:r>
      <w:r>
        <w:rPr>
          <w:rFonts w:hint="default" w:ascii="Times New Roman" w:hAnsi="Times New Roman" w:eastAsia="times_new_roman" w:cs="Times New Roman"/>
          <w:color w:val="000000"/>
          <w:kern w:val="0"/>
          <w:sz w:val="32"/>
          <w:szCs w:val="32"/>
          <w:u w:val="none" w:color="auto"/>
        </w:rPr>
        <w:t>0 </w:t>
      </w:r>
      <w:r>
        <w:rPr>
          <w:rFonts w:hint="default" w:ascii="Times New Roman" w:hAnsi="Times New Roman" w:eastAsia="仿宋_GB2312" w:cs="Times New Roman"/>
          <w:color w:val="000000"/>
          <w:kern w:val="0"/>
          <w:sz w:val="32"/>
          <w:szCs w:val="32"/>
          <w:u w:val="none" w:color="auto"/>
        </w:rPr>
        <w:t>辆、主要负责人用车</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辆、机要通信用车</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辆、应急保障用车</w:t>
      </w:r>
      <w:r>
        <w:rPr>
          <w:rFonts w:hint="default" w:ascii="Times New Roman" w:hAnsi="Times New Roman" w:eastAsia="times_new_roman" w:cs="Times New Roman"/>
          <w:color w:val="000000"/>
          <w:kern w:val="0"/>
          <w:sz w:val="32"/>
          <w:szCs w:val="32"/>
          <w:u w:val="none" w:color="auto"/>
        </w:rPr>
        <w:t>2</w:t>
      </w:r>
      <w:r>
        <w:rPr>
          <w:rFonts w:hint="default" w:ascii="Times New Roman" w:hAnsi="Times New Roman" w:eastAsia="仿宋_GB2312" w:cs="Times New Roman"/>
          <w:color w:val="000000"/>
          <w:kern w:val="0"/>
          <w:sz w:val="32"/>
          <w:szCs w:val="32"/>
          <w:u w:val="none" w:color="auto"/>
        </w:rPr>
        <w:t>辆、执法执勤用车</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辆、特种专业技术用车</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辆、离退休干部服务用车</w:t>
      </w:r>
      <w:r>
        <w:rPr>
          <w:rFonts w:hint="default" w:ascii="Times New Roman" w:hAnsi="Times New Roman" w:eastAsia="times_new_roman" w:cs="Times New Roman"/>
          <w:color w:val="000000"/>
          <w:kern w:val="0"/>
          <w:sz w:val="32"/>
          <w:szCs w:val="32"/>
          <w:u w:val="none" w:color="auto"/>
        </w:rPr>
        <w:t>0</w:t>
      </w:r>
      <w:r>
        <w:rPr>
          <w:rFonts w:hint="default" w:ascii="Times New Roman" w:hAnsi="Times New Roman" w:eastAsia="仿宋_GB2312" w:cs="Times New Roman"/>
          <w:color w:val="000000"/>
          <w:kern w:val="0"/>
          <w:sz w:val="32"/>
          <w:szCs w:val="32"/>
          <w:u w:val="none" w:color="auto"/>
        </w:rPr>
        <w:t>辆，其他用车</w:t>
      </w:r>
      <w:r>
        <w:rPr>
          <w:rFonts w:hint="default" w:ascii="Times New Roman" w:hAnsi="Times New Roman" w:eastAsia="times_new_roman" w:cs="Times New Roman"/>
          <w:color w:val="000000"/>
          <w:kern w:val="0"/>
          <w:sz w:val="32"/>
          <w:szCs w:val="32"/>
          <w:u w:val="none" w:color="auto"/>
        </w:rPr>
        <w:t>8</w:t>
      </w:r>
      <w:r>
        <w:rPr>
          <w:rFonts w:hint="default" w:ascii="Times New Roman" w:hAnsi="Times New Roman" w:eastAsia="仿宋_GB2312" w:cs="Times New Roman"/>
          <w:color w:val="000000"/>
          <w:kern w:val="0"/>
          <w:sz w:val="32"/>
          <w:szCs w:val="32"/>
          <w:u w:val="none" w:color="auto"/>
        </w:rPr>
        <w:t>辆；单价100万元（含）以上的设备（不含车辆）</w:t>
      </w:r>
      <w:r>
        <w:rPr>
          <w:rFonts w:hint="default" w:ascii="Times New Roman" w:hAnsi="Times New Roman" w:eastAsia="times_new_roman" w:cs="Times New Roman"/>
          <w:color w:val="000000"/>
          <w:kern w:val="0"/>
          <w:sz w:val="32"/>
          <w:szCs w:val="32"/>
          <w:u w:val="none" w:color="auto"/>
        </w:rPr>
        <w:t>2</w:t>
      </w:r>
      <w:r>
        <w:rPr>
          <w:rFonts w:hint="default" w:ascii="Times New Roman" w:hAnsi="Times New Roman" w:eastAsia="仿宋_GB2312" w:cs="Times New Roman"/>
          <w:color w:val="000000"/>
          <w:kern w:val="0"/>
          <w:sz w:val="32"/>
          <w:szCs w:val="32"/>
          <w:u w:val="none" w:color="auto"/>
        </w:rPr>
        <w:t>台（套）。</w:t>
      </w:r>
    </w:p>
    <w:p w14:paraId="3AEDFFD6">
      <w:pPr>
        <w:widowControl/>
        <w:spacing w:before="240" w:after="240"/>
        <w:ind w:firstLine="643"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黑体" w:cs="Times New Roman"/>
          <w:b/>
          <w:bCs/>
          <w:kern w:val="0"/>
          <w:sz w:val="32"/>
          <w:szCs w:val="32"/>
          <w:u w:val="none" w:color="auto"/>
        </w:rPr>
        <w:t>十四、预算绩效情况说明</w:t>
      </w:r>
    </w:p>
    <w:p w14:paraId="0BF1F929">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kern w:val="0"/>
          <w:sz w:val="32"/>
          <w:szCs w:val="32"/>
          <w:u w:val="none" w:color="auto"/>
        </w:rPr>
        <w:t>（一）预算绩效管理工作开展情况。</w:t>
      </w:r>
    </w:p>
    <w:p w14:paraId="7FD7E7FF">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仿宋_GB2312" w:cs="Times New Roman"/>
          <w:color w:val="000000"/>
          <w:kern w:val="0"/>
          <w:sz w:val="32"/>
          <w:szCs w:val="32"/>
          <w:u w:val="none" w:color="auto"/>
        </w:rPr>
        <w:t>根据预算绩效管理要求组织对</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年一般公共预算项目支出全面开展绩效自评，</w:t>
      </w:r>
      <w:r>
        <w:rPr>
          <w:rFonts w:hint="eastAsia" w:eastAsia="仿宋_GB2312" w:cs="Times New Roman"/>
          <w:color w:val="000000"/>
          <w:kern w:val="0"/>
          <w:sz w:val="32"/>
          <w:szCs w:val="32"/>
          <w:u w:val="none" w:color="auto"/>
          <w:lang w:eastAsia="zh-CN"/>
        </w:rPr>
        <w:t>共有</w:t>
      </w:r>
      <w:r>
        <w:rPr>
          <w:rFonts w:hint="default" w:ascii="Times New Roman" w:hAnsi="Times New Roman" w:eastAsia="仿宋_GB2312" w:cs="Times New Roman"/>
          <w:color w:val="000000"/>
          <w:kern w:val="0"/>
          <w:sz w:val="32"/>
          <w:szCs w:val="32"/>
          <w:u w:val="none" w:color="auto"/>
        </w:rPr>
        <w:t>项目</w:t>
      </w:r>
      <w:r>
        <w:rPr>
          <w:rFonts w:hint="eastAsia" w:ascii="Times New Roman" w:hAnsi="Times New Roman" w:eastAsia="宋体" w:cs="Times New Roman"/>
          <w:color w:val="000000"/>
          <w:kern w:val="0"/>
          <w:sz w:val="32"/>
          <w:szCs w:val="32"/>
          <w:u w:val="none" w:color="auto"/>
          <w:lang w:val="en-US" w:eastAsia="zh-CN"/>
        </w:rPr>
        <w:t>23</w:t>
      </w:r>
      <w:r>
        <w:rPr>
          <w:rFonts w:hint="default" w:ascii="Times New Roman" w:hAnsi="Times New Roman" w:eastAsia="仿宋_GB2312" w:cs="Times New Roman"/>
          <w:color w:val="000000"/>
          <w:kern w:val="0"/>
          <w:sz w:val="32"/>
          <w:szCs w:val="32"/>
          <w:u w:val="none" w:color="auto"/>
        </w:rPr>
        <w:t>个，共涉及资金</w:t>
      </w:r>
      <w:r>
        <w:rPr>
          <w:rFonts w:hint="eastAsia" w:ascii="Times New Roman" w:hAnsi="Times New Roman" w:eastAsia="宋体" w:cs="Times New Roman"/>
          <w:color w:val="000000"/>
          <w:kern w:val="0"/>
          <w:sz w:val="32"/>
          <w:szCs w:val="32"/>
          <w:u w:val="none" w:color="auto"/>
          <w:lang w:val="en-US" w:eastAsia="zh-CN"/>
        </w:rPr>
        <w:t>3,324.09</w:t>
      </w:r>
      <w:r>
        <w:rPr>
          <w:rFonts w:hint="default" w:ascii="Times New Roman" w:hAnsi="Times New Roman" w:eastAsia="仿宋_GB2312" w:cs="Times New Roman"/>
          <w:color w:val="000000"/>
          <w:kern w:val="0"/>
          <w:sz w:val="32"/>
          <w:szCs w:val="32"/>
          <w:u w:val="none" w:color="auto"/>
        </w:rPr>
        <w:t>万元，占一般公共预算项目支出总额的</w:t>
      </w:r>
      <w:r>
        <w:rPr>
          <w:rFonts w:hint="default" w:ascii="Times New Roman" w:hAnsi="Times New Roman" w:eastAsia="times_new_roman" w:cs="Times New Roman"/>
          <w:color w:val="000000"/>
          <w:kern w:val="0"/>
          <w:sz w:val="32"/>
          <w:szCs w:val="32"/>
          <w:u w:val="none" w:color="auto"/>
        </w:rPr>
        <w:t>100</w:t>
      </w:r>
      <w:r>
        <w:rPr>
          <w:rFonts w:hint="default" w:ascii="Times New Roman" w:hAnsi="Times New Roman" w:eastAsia="仿宋_GB2312" w:cs="Times New Roman"/>
          <w:color w:val="000000"/>
          <w:kern w:val="0"/>
          <w:sz w:val="32"/>
          <w:szCs w:val="32"/>
          <w:u w:val="none" w:color="auto"/>
        </w:rPr>
        <w:t>%；政府性基金预算项目</w:t>
      </w:r>
      <w:r>
        <w:rPr>
          <w:rFonts w:hint="default" w:ascii="Times New Roman" w:hAnsi="Times New Roman" w:cs="Times New Roman"/>
          <w:color w:val="000000"/>
          <w:kern w:val="0"/>
          <w:sz w:val="32"/>
          <w:szCs w:val="32"/>
          <w:u w:val="none" w:color="auto"/>
          <w:lang w:val="en-US" w:eastAsia="zh-CN"/>
        </w:rPr>
        <w:t>0</w:t>
      </w:r>
      <w:r>
        <w:rPr>
          <w:rFonts w:hint="default" w:ascii="Times New Roman" w:hAnsi="Times New Roman" w:eastAsia="仿宋_GB2312" w:cs="Times New Roman"/>
          <w:color w:val="000000"/>
          <w:kern w:val="0"/>
          <w:sz w:val="32"/>
          <w:szCs w:val="32"/>
          <w:u w:val="none" w:color="auto"/>
        </w:rPr>
        <w:t>个，其中，一级项目</w:t>
      </w:r>
      <w:r>
        <w:rPr>
          <w:rFonts w:hint="default" w:ascii="Times New Roman" w:hAnsi="Times New Roman" w:cs="Times New Roman"/>
          <w:color w:val="000000"/>
          <w:kern w:val="0"/>
          <w:sz w:val="32"/>
          <w:szCs w:val="32"/>
          <w:u w:val="none" w:color="auto"/>
          <w:lang w:val="en-US" w:eastAsia="zh-CN"/>
        </w:rPr>
        <w:t>0</w:t>
      </w:r>
      <w:r>
        <w:rPr>
          <w:rFonts w:hint="default" w:ascii="Times New Roman" w:hAnsi="Times New Roman" w:eastAsia="仿宋_GB2312" w:cs="Times New Roman"/>
          <w:color w:val="000000"/>
          <w:kern w:val="0"/>
          <w:sz w:val="32"/>
          <w:szCs w:val="32"/>
          <w:u w:val="none" w:color="auto"/>
        </w:rPr>
        <w:t>个，二级项目</w:t>
      </w:r>
      <w:r>
        <w:rPr>
          <w:rFonts w:hint="default" w:ascii="Times New Roman" w:hAnsi="Times New Roman" w:cs="Times New Roman"/>
          <w:color w:val="000000"/>
          <w:kern w:val="0"/>
          <w:sz w:val="32"/>
          <w:szCs w:val="32"/>
          <w:u w:val="none" w:color="auto"/>
          <w:lang w:val="en-US" w:eastAsia="zh-CN"/>
        </w:rPr>
        <w:t>0</w:t>
      </w:r>
      <w:r>
        <w:rPr>
          <w:rFonts w:hint="default" w:ascii="Times New Roman" w:hAnsi="Times New Roman" w:eastAsia="仿宋_GB2312" w:cs="Times New Roman"/>
          <w:color w:val="000000"/>
          <w:kern w:val="0"/>
          <w:sz w:val="32"/>
          <w:szCs w:val="32"/>
          <w:u w:val="none" w:color="auto"/>
        </w:rPr>
        <w:t>个，共涉及资金</w:t>
      </w:r>
      <w:r>
        <w:rPr>
          <w:rFonts w:hint="default" w:ascii="Times New Roman" w:hAnsi="Times New Roman"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万元，占应纳入绩效自评的政府性基金预算项目支出总额的</w:t>
      </w:r>
      <w:r>
        <w:rPr>
          <w:rFonts w:hint="default" w:ascii="Times New Roman" w:hAnsi="Times New Roman" w:eastAsia="times_new_roman" w:cs="Times New Roman"/>
          <w:color w:val="000000"/>
          <w:kern w:val="0"/>
          <w:sz w:val="32"/>
          <w:szCs w:val="32"/>
          <w:u w:val="none" w:color="auto"/>
        </w:rPr>
        <w:t>100%</w:t>
      </w:r>
      <w:r>
        <w:rPr>
          <w:rFonts w:hint="default" w:ascii="Times New Roman" w:hAnsi="Times New Roman" w:eastAsia="仿宋_GB2312" w:cs="Times New Roman"/>
          <w:color w:val="1200FF"/>
          <w:kern w:val="0"/>
          <w:sz w:val="32"/>
          <w:szCs w:val="32"/>
          <w:u w:val="none" w:color="auto"/>
        </w:rPr>
        <w:t>。</w:t>
      </w:r>
    </w:p>
    <w:p w14:paraId="4CE79C6F">
      <w:pPr>
        <w:widowControl/>
        <w:spacing w:before="240" w:after="240"/>
        <w:ind w:firstLine="640" w:firstLineChars="20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auto"/>
          <w:kern w:val="0"/>
          <w:sz w:val="32"/>
          <w:szCs w:val="32"/>
          <w:u w:val="none" w:color="auto"/>
        </w:rPr>
        <w:t>组织对“</w:t>
      </w:r>
      <w:r>
        <w:rPr>
          <w:rFonts w:hint="eastAsia" w:ascii="仿宋_GB2312" w:hAnsi="仿宋_GB2312" w:eastAsia="仿宋_GB2312" w:cs="仿宋_GB2312"/>
          <w:color w:val="auto"/>
          <w:kern w:val="0"/>
          <w:sz w:val="32"/>
          <w:szCs w:val="32"/>
          <w:u w:val="none" w:color="auto"/>
        </w:rPr>
        <w:t>中医药（蒙医药）发展专项及卫生健康专项</w:t>
      </w:r>
      <w:r>
        <w:rPr>
          <w:rFonts w:hint="default" w:ascii="Times New Roman" w:hAnsi="Times New Roman" w:eastAsia="仿宋_GB2312" w:cs="Times New Roman"/>
          <w:color w:val="auto"/>
          <w:kern w:val="0"/>
          <w:sz w:val="32"/>
          <w:szCs w:val="32"/>
          <w:u w:val="none" w:color="auto"/>
        </w:rPr>
        <w:t>”开展了部门评价，涉及一般公共预算支出</w:t>
      </w:r>
      <w:r>
        <w:rPr>
          <w:rFonts w:hint="eastAsia" w:ascii="Times New Roman" w:hAnsi="Times New Roman" w:eastAsia="宋体" w:cs="Times New Roman"/>
          <w:color w:val="auto"/>
          <w:kern w:val="0"/>
          <w:sz w:val="32"/>
          <w:szCs w:val="32"/>
          <w:u w:val="none" w:color="auto"/>
          <w:lang w:val="en-US" w:eastAsia="zh-CN"/>
        </w:rPr>
        <w:t>1</w:t>
      </w:r>
      <w:r>
        <w:rPr>
          <w:rFonts w:hint="eastAsia" w:cs="Times New Roman"/>
          <w:color w:val="auto"/>
          <w:kern w:val="0"/>
          <w:sz w:val="32"/>
          <w:szCs w:val="32"/>
          <w:u w:val="none" w:color="auto"/>
          <w:lang w:val="en-US" w:eastAsia="zh-CN"/>
        </w:rPr>
        <w:t>1</w:t>
      </w:r>
      <w:r>
        <w:rPr>
          <w:rFonts w:hint="eastAsia" w:ascii="Times New Roman" w:hAnsi="Times New Roman" w:eastAsia="宋体" w:cs="Times New Roman"/>
          <w:color w:val="auto"/>
          <w:kern w:val="0"/>
          <w:sz w:val="32"/>
          <w:szCs w:val="32"/>
          <w:u w:val="none" w:color="auto"/>
          <w:lang w:val="en-US" w:eastAsia="zh-CN"/>
        </w:rPr>
        <w:t>00.00</w:t>
      </w:r>
      <w:r>
        <w:rPr>
          <w:rFonts w:hint="default" w:ascii="Times New Roman" w:hAnsi="Times New Roman" w:eastAsia="仿宋_GB2312" w:cs="Times New Roman"/>
          <w:color w:val="auto"/>
          <w:kern w:val="0"/>
          <w:sz w:val="32"/>
          <w:szCs w:val="32"/>
          <w:u w:val="none" w:color="auto"/>
        </w:rPr>
        <w:t>万元，政府性基金支出</w:t>
      </w:r>
      <w:r>
        <w:rPr>
          <w:rFonts w:hint="default" w:ascii="Times New Roman" w:hAnsi="Times New Roman" w:cs="Times New Roman"/>
          <w:color w:val="auto"/>
          <w:kern w:val="0"/>
          <w:sz w:val="32"/>
          <w:szCs w:val="32"/>
          <w:u w:val="none" w:color="auto"/>
          <w:lang w:val="en-US" w:eastAsia="zh-CN"/>
        </w:rPr>
        <w:t>0.00</w:t>
      </w:r>
      <w:r>
        <w:rPr>
          <w:rFonts w:hint="default" w:ascii="Times New Roman" w:hAnsi="Times New Roman" w:eastAsia="仿宋_GB2312" w:cs="Times New Roman"/>
          <w:color w:val="auto"/>
          <w:kern w:val="0"/>
          <w:sz w:val="32"/>
          <w:szCs w:val="32"/>
          <w:u w:val="none" w:color="auto"/>
        </w:rPr>
        <w:t>万元。其中，对“</w:t>
      </w:r>
      <w:r>
        <w:rPr>
          <w:rFonts w:hint="eastAsia" w:ascii="仿宋_GB2312" w:hAnsi="仿宋_GB2312" w:eastAsia="仿宋_GB2312" w:cs="仿宋_GB2312"/>
          <w:color w:val="auto"/>
          <w:kern w:val="0"/>
          <w:sz w:val="32"/>
          <w:szCs w:val="32"/>
          <w:u w:val="none" w:color="auto"/>
        </w:rPr>
        <w:t>中医药（蒙医药）发展专项及卫生健康专项</w:t>
      </w:r>
      <w:r>
        <w:rPr>
          <w:rFonts w:hint="default" w:ascii="Times New Roman" w:hAnsi="Times New Roman" w:eastAsia="仿宋_GB2312" w:cs="Times New Roman"/>
          <w:color w:val="auto"/>
          <w:kern w:val="0"/>
          <w:sz w:val="32"/>
          <w:szCs w:val="32"/>
          <w:u w:val="none" w:color="auto"/>
        </w:rPr>
        <w:t>”</w:t>
      </w:r>
      <w:r>
        <w:rPr>
          <w:rFonts w:hint="default" w:ascii="Times New Roman" w:hAnsi="Times New Roman" w:eastAsia="仿宋_GB2312" w:cs="Times New Roman"/>
          <w:color w:val="000000"/>
          <w:kern w:val="0"/>
          <w:sz w:val="32"/>
          <w:szCs w:val="32"/>
          <w:u w:val="none" w:color="auto"/>
        </w:rPr>
        <w:t>委托相关第三方机构开展绩效评价。从评价情况看，</w:t>
      </w:r>
      <w:r>
        <w:rPr>
          <w:rFonts w:hint="eastAsia" w:ascii="Times New Roman" w:hAnsi="Times New Roman" w:eastAsia="仿宋_GB2312" w:cs="Times New Roman"/>
          <w:color w:val="000000"/>
          <w:kern w:val="0"/>
          <w:sz w:val="32"/>
          <w:szCs w:val="32"/>
          <w:u w:val="none" w:color="auto"/>
          <w:lang w:val="en-US" w:eastAsia="zh-CN"/>
        </w:rPr>
        <w:t>此</w:t>
      </w:r>
      <w:r>
        <w:rPr>
          <w:rFonts w:hint="default" w:ascii="Times New Roman" w:hAnsi="Times New Roman" w:eastAsia="仿宋_GB2312" w:cs="Times New Roman"/>
          <w:color w:val="000000"/>
          <w:kern w:val="0"/>
          <w:sz w:val="32"/>
          <w:szCs w:val="32"/>
          <w:u w:val="none" w:color="auto"/>
        </w:rPr>
        <w:t>项目总体情况较好，综合评价最终得分为</w:t>
      </w:r>
      <w:r>
        <w:rPr>
          <w:rFonts w:hint="eastAsia" w:eastAsia="仿宋_GB2312" w:cs="Times New Roman"/>
          <w:color w:val="000000"/>
          <w:kern w:val="0"/>
          <w:sz w:val="32"/>
          <w:szCs w:val="32"/>
          <w:highlight w:val="none"/>
          <w:u w:val="none" w:color="auto"/>
          <w:lang w:val="en-US" w:eastAsia="zh-CN"/>
        </w:rPr>
        <w:t>78.41</w:t>
      </w:r>
      <w:r>
        <w:rPr>
          <w:rFonts w:hint="default" w:ascii="Times New Roman" w:hAnsi="Times New Roman" w:eastAsia="仿宋_GB2312" w:cs="Times New Roman"/>
          <w:color w:val="000000"/>
          <w:kern w:val="0"/>
          <w:sz w:val="32"/>
          <w:szCs w:val="32"/>
          <w:u w:val="none" w:color="auto"/>
        </w:rPr>
        <w:t>分，评价等级为“</w:t>
      </w:r>
      <w:r>
        <w:rPr>
          <w:rFonts w:hint="eastAsia" w:eastAsia="仿宋_GB2312" w:cs="Times New Roman"/>
          <w:color w:val="000000"/>
          <w:kern w:val="0"/>
          <w:sz w:val="32"/>
          <w:szCs w:val="32"/>
          <w:u w:val="none" w:color="auto"/>
          <w:lang w:val="en-US" w:eastAsia="zh-CN"/>
        </w:rPr>
        <w:t>中</w:t>
      </w:r>
      <w:r>
        <w:rPr>
          <w:rFonts w:hint="default" w:ascii="Times New Roman" w:hAnsi="Times New Roman" w:eastAsia="仿宋_GB2312" w:cs="Times New Roman"/>
          <w:color w:val="000000"/>
          <w:kern w:val="0"/>
          <w:sz w:val="32"/>
          <w:szCs w:val="32"/>
          <w:u w:val="none" w:color="auto"/>
        </w:rPr>
        <w:t>”。开展绩效评价是对项目进展情况、资金使用、制度建设及执行情况和取得的成效进行评价，总结经验，发现问题，提出改进的意见和建议，进一步提高资金预算的预见性和准确性，合理规划资金的使用，规范预算管理，提高财政资金的使用效益，确保项目资金使用公正规范。</w:t>
      </w:r>
    </w:p>
    <w:p w14:paraId="6203F35B">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kai_ti_gb2312" w:cs="Times New Roman"/>
          <w:b/>
          <w:bCs/>
          <w:color w:val="000000"/>
          <w:kern w:val="0"/>
          <w:sz w:val="32"/>
          <w:szCs w:val="32"/>
          <w:u w:val="none" w:color="auto"/>
        </w:rPr>
        <w:t>    （二）单位决算中项目绩效自评结果。</w:t>
      </w:r>
    </w:p>
    <w:p w14:paraId="6A81F6AC">
      <w:pPr>
        <w:widowControl/>
        <w:spacing w:before="240" w:after="240"/>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color w:val="000000"/>
          <w:kern w:val="0"/>
          <w:sz w:val="32"/>
          <w:szCs w:val="32"/>
          <w:u w:val="none" w:color="auto"/>
        </w:rPr>
        <w:t>    内蒙古自治区鄂尔多斯市卫生健康委员会（鄂尔多斯市中医药管理局）</w:t>
      </w:r>
      <w:r>
        <w:rPr>
          <w:rFonts w:hint="eastAsia" w:eastAsia="仿宋_GB2312" w:cs="Times New Roman"/>
          <w:color w:val="000000"/>
          <w:kern w:val="0"/>
          <w:sz w:val="32"/>
          <w:szCs w:val="32"/>
          <w:u w:val="none" w:color="auto"/>
          <w:lang w:eastAsia="zh-CN"/>
        </w:rPr>
        <w:t>（</w:t>
      </w:r>
      <w:r>
        <w:rPr>
          <w:rFonts w:hint="eastAsia" w:eastAsia="仿宋_GB2312" w:cs="Times New Roman"/>
          <w:color w:val="000000"/>
          <w:kern w:val="0"/>
          <w:sz w:val="32"/>
          <w:szCs w:val="32"/>
          <w:u w:val="none" w:color="auto"/>
          <w:lang w:val="en-US" w:eastAsia="zh-CN"/>
        </w:rPr>
        <w:t>本级）</w:t>
      </w:r>
      <w:r>
        <w:rPr>
          <w:rFonts w:hint="default" w:ascii="Times New Roman" w:hAnsi="Times New Roman" w:eastAsia="times_new_roman" w:cs="Times New Roman"/>
          <w:color w:val="000000"/>
          <w:kern w:val="0"/>
          <w:sz w:val="32"/>
          <w:szCs w:val="32"/>
          <w:u w:val="none" w:color="auto"/>
        </w:rPr>
        <w:t>2024</w:t>
      </w:r>
      <w:r>
        <w:rPr>
          <w:rFonts w:hint="default" w:ascii="Times New Roman" w:hAnsi="Times New Roman" w:eastAsia="仿宋_GB2312" w:cs="Times New Roman"/>
          <w:color w:val="000000"/>
          <w:kern w:val="0"/>
          <w:sz w:val="32"/>
          <w:szCs w:val="32"/>
          <w:u w:val="none" w:color="auto"/>
        </w:rPr>
        <w:t>年度在决算中反映</w:t>
      </w:r>
      <w:r>
        <w:rPr>
          <w:rFonts w:hint="eastAsia" w:ascii="Times New Roman" w:hAnsi="Times New Roman" w:eastAsia="宋体" w:cs="Times New Roman"/>
          <w:color w:val="000000"/>
          <w:kern w:val="0"/>
          <w:sz w:val="32"/>
          <w:szCs w:val="32"/>
          <w:u w:val="none" w:color="auto"/>
          <w:lang w:val="en-US" w:eastAsia="zh-CN"/>
        </w:rPr>
        <w:t>5</w:t>
      </w:r>
      <w:r>
        <w:rPr>
          <w:rFonts w:hint="default" w:ascii="Times New Roman" w:hAnsi="Times New Roman" w:eastAsia="仿宋_GB2312" w:cs="Times New Roman"/>
          <w:color w:val="000000"/>
          <w:kern w:val="0"/>
          <w:sz w:val="32"/>
          <w:szCs w:val="32"/>
          <w:u w:val="none" w:color="auto"/>
        </w:rPr>
        <w:t>个一般公共预算项目，以及</w:t>
      </w:r>
      <w:r>
        <w:rPr>
          <w:rFonts w:hint="default" w:ascii="Times New Roman" w:hAnsi="Times New Roman" w:cs="Times New Roman"/>
          <w:color w:val="000000"/>
          <w:kern w:val="0"/>
          <w:sz w:val="32"/>
          <w:szCs w:val="32"/>
          <w:u w:val="none" w:color="auto"/>
          <w:lang w:val="en-US" w:eastAsia="zh-CN"/>
        </w:rPr>
        <w:t>0</w:t>
      </w:r>
      <w:r>
        <w:rPr>
          <w:rFonts w:hint="default" w:ascii="Times New Roman" w:hAnsi="Times New Roman" w:eastAsia="仿宋_GB2312" w:cs="Times New Roman"/>
          <w:color w:val="000000"/>
          <w:kern w:val="0"/>
          <w:sz w:val="32"/>
          <w:szCs w:val="32"/>
          <w:u w:val="none" w:color="auto"/>
        </w:rPr>
        <w:t>个政府性基金项目，共</w:t>
      </w:r>
      <w:r>
        <w:rPr>
          <w:rFonts w:hint="eastAsia" w:ascii="Times New Roman" w:hAnsi="Times New Roman" w:eastAsia="宋体" w:cs="Times New Roman"/>
          <w:color w:val="000000"/>
          <w:kern w:val="0"/>
          <w:sz w:val="32"/>
          <w:szCs w:val="32"/>
          <w:u w:val="none" w:color="auto"/>
          <w:lang w:val="en-US" w:eastAsia="zh-CN"/>
        </w:rPr>
        <w:t>5</w:t>
      </w:r>
      <w:r>
        <w:rPr>
          <w:rFonts w:hint="default" w:ascii="Times New Roman" w:hAnsi="Times New Roman" w:eastAsia="仿宋_GB2312" w:cs="Times New Roman"/>
          <w:color w:val="000000"/>
          <w:kern w:val="0"/>
          <w:sz w:val="32"/>
          <w:szCs w:val="32"/>
          <w:u w:val="none" w:color="auto"/>
        </w:rPr>
        <w:t>个项目的绩效自评结果。</w:t>
      </w:r>
    </w:p>
    <w:p w14:paraId="6F3BAB1B">
      <w:pPr>
        <w:widowControl/>
        <w:spacing w:before="240" w:after="240"/>
        <w:ind w:firstLine="640" w:firstLineChars="200"/>
        <w:rPr>
          <w:rFonts w:hint="default" w:ascii="Times New Roman" w:hAnsi="Times New Roman" w:eastAsia="仿宋_GB2312" w:cs="Times New Roman"/>
          <w:color w:val="auto"/>
          <w:kern w:val="0"/>
          <w:sz w:val="32"/>
          <w:szCs w:val="32"/>
          <w:u w:val="none" w:color="auto"/>
        </w:rPr>
      </w:pPr>
      <w:r>
        <w:rPr>
          <w:rFonts w:hint="default" w:ascii="Times New Roman" w:hAnsi="Times New Roman" w:eastAsia="times_new_roman" w:cs="Times New Roman"/>
          <w:color w:val="000000"/>
          <w:kern w:val="0"/>
          <w:sz w:val="32"/>
          <w:szCs w:val="32"/>
          <w:u w:val="none" w:color="auto"/>
        </w:rPr>
        <w:t>1.</w:t>
      </w:r>
      <w:r>
        <w:rPr>
          <w:rFonts w:hint="eastAsia" w:eastAsia="宋体" w:cs="Times New Roman"/>
          <w:color w:val="000000"/>
          <w:kern w:val="0"/>
          <w:sz w:val="32"/>
          <w:szCs w:val="32"/>
          <w:u w:val="none" w:color="auto"/>
          <w:lang w:eastAsia="zh-CN"/>
        </w:rPr>
        <w:t>“</w:t>
      </w:r>
      <w:r>
        <w:rPr>
          <w:rFonts w:hint="eastAsia" w:ascii="仿宋_GB2312" w:hAnsi="仿宋_GB2312" w:eastAsia="仿宋_GB2312" w:cs="仿宋_GB2312"/>
          <w:color w:val="000000"/>
          <w:kern w:val="0"/>
          <w:sz w:val="32"/>
          <w:szCs w:val="32"/>
          <w:u w:val="none" w:color="auto"/>
        </w:rPr>
        <w:t>重点人群免费三癌四高筛查经费</w:t>
      </w:r>
      <w:r>
        <w:rPr>
          <w:rFonts w:hint="eastAsia" w:ascii="仿宋_GB2312" w:hAnsi="仿宋_GB2312" w:eastAsia="仿宋_GB2312" w:cs="仿宋_GB2312"/>
          <w:color w:val="000000"/>
          <w:kern w:val="0"/>
          <w:sz w:val="32"/>
          <w:szCs w:val="32"/>
          <w:u w:val="none" w:color="auto"/>
          <w:lang w:eastAsia="zh-CN"/>
        </w:rPr>
        <w:t>”</w:t>
      </w:r>
      <w:r>
        <w:rPr>
          <w:rFonts w:hint="eastAsia" w:ascii="仿宋_GB2312" w:hAnsi="仿宋_GB2312" w:eastAsia="仿宋_GB2312" w:cs="仿宋_GB2312"/>
          <w:color w:val="000000"/>
          <w:kern w:val="0"/>
          <w:sz w:val="32"/>
          <w:szCs w:val="32"/>
          <w:u w:val="none" w:color="auto"/>
        </w:rPr>
        <w:t>项目自</w:t>
      </w:r>
      <w:r>
        <w:rPr>
          <w:rFonts w:hint="default" w:ascii="Times New Roman" w:hAnsi="Times New Roman" w:eastAsia="仿宋_GB2312" w:cs="Times New Roman"/>
          <w:color w:val="000000"/>
          <w:kern w:val="0"/>
          <w:sz w:val="32"/>
          <w:szCs w:val="32"/>
          <w:u w:val="none" w:color="auto"/>
        </w:rPr>
        <w:t>评综述：根据年初设定的绩效目标，项目自评得分</w:t>
      </w:r>
      <w:r>
        <w:rPr>
          <w:rFonts w:hint="eastAsia" w:eastAsia="宋体" w:cs="Times New Roman"/>
          <w:color w:val="000000"/>
          <w:kern w:val="0"/>
          <w:sz w:val="32"/>
          <w:szCs w:val="32"/>
          <w:u w:val="none" w:color="auto"/>
          <w:lang w:val="en-US" w:eastAsia="zh-CN"/>
        </w:rPr>
        <w:t>90.00</w:t>
      </w:r>
      <w:r>
        <w:rPr>
          <w:rFonts w:hint="default" w:ascii="Times New Roman" w:hAnsi="Times New Roman" w:eastAsia="仿宋_GB2312" w:cs="Times New Roman"/>
          <w:color w:val="000000"/>
          <w:kern w:val="0"/>
          <w:sz w:val="32"/>
          <w:szCs w:val="32"/>
          <w:u w:val="none" w:color="auto"/>
        </w:rPr>
        <w:t>分</w:t>
      </w:r>
      <w:r>
        <w:rPr>
          <w:rFonts w:hint="default" w:ascii="仿宋_GB2312" w:hAnsi="仿宋_GB2312" w:eastAsia="仿宋_GB2312" w:cs="仿宋_GB2312"/>
          <w:color w:val="000000"/>
          <w:kern w:val="0"/>
          <w:sz w:val="32"/>
          <w:szCs w:val="32"/>
          <w:u w:val="none" w:color="auto"/>
          <w:lang w:val="en-US" w:eastAsia="zh-CN"/>
        </w:rPr>
        <w:t>，绩效评价结果为“优”</w:t>
      </w:r>
      <w:r>
        <w:rPr>
          <w:rFonts w:hint="default" w:ascii="Times New Roman" w:hAnsi="Times New Roman" w:eastAsia="仿宋_GB2312" w:cs="Times New Roman"/>
          <w:color w:val="000000"/>
          <w:kern w:val="0"/>
          <w:sz w:val="32"/>
          <w:szCs w:val="32"/>
          <w:u w:val="none" w:color="auto"/>
        </w:rPr>
        <w:t>。</w:t>
      </w:r>
      <w:r>
        <w:rPr>
          <w:rFonts w:hint="eastAsia" w:eastAsia="仿宋_GB2312" w:cs="Times New Roman"/>
          <w:color w:val="000000"/>
          <w:kern w:val="0"/>
          <w:sz w:val="32"/>
          <w:szCs w:val="32"/>
          <w:u w:val="none" w:color="auto"/>
          <w:lang w:val="en-US" w:eastAsia="zh-CN"/>
        </w:rPr>
        <w:t>该项目为部门代编预算，年初预算数4396.00万元，完成再分配后，</w:t>
      </w:r>
      <w:r>
        <w:rPr>
          <w:rFonts w:hint="default" w:ascii="Times New Roman" w:hAnsi="Times New Roman" w:eastAsia="仿宋_GB2312" w:cs="Times New Roman"/>
          <w:color w:val="000000"/>
          <w:kern w:val="0"/>
          <w:sz w:val="32"/>
          <w:szCs w:val="32"/>
          <w:u w:val="none" w:color="auto"/>
        </w:rPr>
        <w:t>全年预算数为</w:t>
      </w:r>
      <w:r>
        <w:rPr>
          <w:rFonts w:hint="eastAsia" w:eastAsia="宋体"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万元，执行数为</w:t>
      </w:r>
      <w:r>
        <w:rPr>
          <w:rFonts w:hint="eastAsia" w:eastAsia="宋体" w:cs="Times New Roman"/>
          <w:color w:val="000000"/>
          <w:kern w:val="0"/>
          <w:sz w:val="32"/>
          <w:szCs w:val="32"/>
          <w:u w:val="none" w:color="auto"/>
          <w:lang w:val="en-US" w:eastAsia="zh-CN"/>
        </w:rPr>
        <w:t>0.00</w:t>
      </w:r>
      <w:r>
        <w:rPr>
          <w:rFonts w:hint="default" w:ascii="Times New Roman" w:hAnsi="Times New Roman" w:eastAsia="仿宋_GB2312" w:cs="Times New Roman"/>
          <w:color w:val="000000"/>
          <w:kern w:val="0"/>
          <w:sz w:val="32"/>
          <w:szCs w:val="32"/>
          <w:u w:val="none" w:color="auto"/>
        </w:rPr>
        <w:t>万元，完成预算的</w:t>
      </w:r>
      <w:r>
        <w:rPr>
          <w:rFonts w:hint="eastAsia" w:eastAsia="宋体" w:cs="Times New Roman"/>
          <w:color w:val="000000"/>
          <w:kern w:val="0"/>
          <w:sz w:val="32"/>
          <w:szCs w:val="32"/>
          <w:u w:val="none" w:color="auto"/>
          <w:lang w:val="en-US" w:eastAsia="zh-CN"/>
        </w:rPr>
        <w:t>100.00</w:t>
      </w:r>
      <w:r>
        <w:rPr>
          <w:rFonts w:hint="default" w:ascii="Times New Roman" w:hAnsi="Times New Roman" w:eastAsia="仿宋_GB2312" w:cs="Times New Roman"/>
          <w:color w:val="000000"/>
          <w:kern w:val="0"/>
          <w:sz w:val="32"/>
          <w:szCs w:val="32"/>
          <w:u w:val="none" w:color="auto"/>
        </w:rPr>
        <w:t>%。项目绩效目标完成情况：</w:t>
      </w:r>
      <w:r>
        <w:rPr>
          <w:rFonts w:hint="default" w:ascii="Times New Roman" w:hAnsi="Times New Roman" w:eastAsia="仿宋_GB2312" w:cs="Times New Roman"/>
          <w:color w:val="auto"/>
          <w:kern w:val="0"/>
          <w:sz w:val="32"/>
          <w:szCs w:val="32"/>
          <w:u w:val="none" w:color="auto"/>
        </w:rPr>
        <w:t>广泛实施重点人群结直肠癌、肝癌、肺癌免费筛查项目，累计筛查约58万例，发现癌前期病变患者3.2万例，早癌患者141例，通过早筛早诊早治，为3.1万例患者提供早期治疗窗口，推动全市癌症预防和控制“关口前移”。</w:t>
      </w:r>
      <w:r>
        <w:rPr>
          <w:rFonts w:hint="eastAsia" w:eastAsia="仿宋_GB2312" w:cs="Times New Roman"/>
          <w:color w:val="auto"/>
          <w:kern w:val="0"/>
          <w:sz w:val="32"/>
          <w:szCs w:val="32"/>
          <w:highlight w:val="none"/>
          <w:u w:val="none" w:color="auto"/>
          <w:lang w:eastAsia="zh-CN"/>
        </w:rPr>
        <w:t>发现的问题及</w:t>
      </w:r>
      <w:r>
        <w:rPr>
          <w:rFonts w:hint="eastAsia" w:eastAsia="仿宋_GB2312" w:cs="Times New Roman"/>
          <w:color w:val="auto"/>
          <w:kern w:val="0"/>
          <w:sz w:val="32"/>
          <w:szCs w:val="32"/>
          <w:highlight w:val="none"/>
          <w:u w:val="none" w:color="auto"/>
          <w:lang w:val="en-US" w:eastAsia="zh-CN"/>
        </w:rPr>
        <w:t>产生</w:t>
      </w:r>
      <w:r>
        <w:rPr>
          <w:rFonts w:hint="eastAsia" w:eastAsia="仿宋_GB2312" w:cs="Times New Roman"/>
          <w:color w:val="auto"/>
          <w:kern w:val="0"/>
          <w:sz w:val="32"/>
          <w:szCs w:val="32"/>
          <w:highlight w:val="none"/>
          <w:u w:val="none" w:color="auto"/>
          <w:lang w:eastAsia="zh-CN"/>
        </w:rPr>
        <w:t>原因</w:t>
      </w:r>
      <w:r>
        <w:rPr>
          <w:rFonts w:hint="eastAsia" w:eastAsia="仿宋_GB2312" w:cs="Times New Roman"/>
          <w:color w:val="auto"/>
          <w:kern w:val="0"/>
          <w:sz w:val="32"/>
          <w:szCs w:val="32"/>
          <w:highlight w:val="none"/>
          <w:u w:val="none" w:color="auto"/>
          <w:lang w:val="en-US" w:eastAsia="zh-CN"/>
        </w:rPr>
        <w:t>：三高四高高风险人群进一步检查率较低，结直肠癌高风险人群肠镜检查率仅为45%，肝肺、肺癌高风险人群进一步CT检查率仅为57%。</w:t>
      </w:r>
      <w:r>
        <w:rPr>
          <w:rFonts w:hint="default" w:ascii="Times New Roman" w:hAnsi="Times New Roman" w:eastAsia="仿宋_GB2312" w:cs="Times New Roman"/>
          <w:color w:val="000000"/>
          <w:kern w:val="0"/>
          <w:sz w:val="32"/>
          <w:szCs w:val="32"/>
          <w:highlight w:val="none"/>
          <w:u w:val="none" w:color="auto"/>
        </w:rPr>
        <w:t>下一步</w:t>
      </w:r>
      <w:r>
        <w:rPr>
          <w:rFonts w:hint="eastAsia" w:eastAsia="仿宋_GB2312" w:cs="Times New Roman"/>
          <w:color w:val="000000"/>
          <w:kern w:val="0"/>
          <w:sz w:val="32"/>
          <w:szCs w:val="32"/>
          <w:u w:val="none" w:color="auto"/>
          <w:lang w:val="en-US" w:eastAsia="zh-CN"/>
        </w:rPr>
        <w:t>改进措施</w:t>
      </w:r>
      <w:r>
        <w:rPr>
          <w:rFonts w:hint="default" w:ascii="Times New Roman" w:hAnsi="Times New Roman" w:eastAsia="仿宋_GB2312" w:cs="Times New Roman"/>
          <w:color w:val="000000"/>
          <w:kern w:val="0"/>
          <w:sz w:val="32"/>
          <w:szCs w:val="32"/>
          <w:u w:val="none" w:color="auto"/>
        </w:rPr>
        <w:t>：</w:t>
      </w:r>
      <w:r>
        <w:rPr>
          <w:rFonts w:hint="default" w:ascii="Times New Roman" w:hAnsi="Times New Roman" w:eastAsia="仿宋_GB2312" w:cs="Times New Roman"/>
          <w:color w:val="auto"/>
          <w:kern w:val="0"/>
          <w:sz w:val="32"/>
          <w:szCs w:val="32"/>
          <w:u w:val="none" w:color="auto"/>
        </w:rPr>
        <w:t>严格按照项目流程进行，合理安排工序，加强部位控制，落实计划安排，严细成本管理，提高项目效益，在项目实施过程中进一步加大高风险人群随访力度，加大对癌症早发现早治疗的宣传，引导高风险人群进一步检查，确保项目的顺利完成，在资金使用上，确保专款专用，持续加强资金使用效益。</w:t>
      </w:r>
    </w:p>
    <w:p w14:paraId="722A8EE2">
      <w:pPr>
        <w:widowControl/>
        <w:spacing w:before="240" w:after="240"/>
        <w:ind w:firstLine="640" w:firstLineChars="200"/>
        <w:rPr>
          <w:rFonts w:hint="eastAsia" w:eastAsia="仿宋_GB2312" w:cs="Times New Roman"/>
          <w:color w:val="000000"/>
          <w:kern w:val="0"/>
          <w:sz w:val="32"/>
          <w:szCs w:val="32"/>
          <w:u w:val="none" w:color="auto"/>
          <w:lang w:val="en-US" w:eastAsia="zh-CN"/>
        </w:rPr>
      </w:pPr>
      <w:r>
        <w:rPr>
          <w:rFonts w:hint="eastAsia" w:ascii="仿宋_GB2312" w:hAnsi="仿宋_GB2312" w:eastAsia="仿宋_GB2312" w:cs="仿宋_GB2312"/>
          <w:color w:val="000000"/>
          <w:kern w:val="0"/>
          <w:sz w:val="32"/>
          <w:szCs w:val="32"/>
          <w:u w:val="none" w:color="auto"/>
        </w:rPr>
        <w:t>2.</w:t>
      </w:r>
      <w:r>
        <w:rPr>
          <w:rFonts w:hint="eastAsia" w:ascii="仿宋_GB2312" w:hAnsi="仿宋_GB2312" w:eastAsia="仿宋_GB2312" w:cs="仿宋_GB2312"/>
          <w:color w:val="000000"/>
          <w:kern w:val="0"/>
          <w:sz w:val="32"/>
          <w:szCs w:val="32"/>
          <w:u w:val="none" w:color="auto"/>
          <w:lang w:eastAsia="zh-CN"/>
        </w:rPr>
        <w:t>“</w:t>
      </w:r>
      <w:r>
        <w:rPr>
          <w:rFonts w:hint="eastAsia" w:ascii="仿宋_GB2312" w:hAnsi="仿宋_GB2312" w:eastAsia="仿宋_GB2312" w:cs="仿宋_GB2312"/>
          <w:color w:val="000000"/>
          <w:kern w:val="0"/>
          <w:sz w:val="32"/>
          <w:szCs w:val="32"/>
          <w:u w:val="none" w:color="auto"/>
        </w:rPr>
        <w:t>鄂尔多斯市检验检查互认平台2024年财政补助资金</w:t>
      </w:r>
      <w:r>
        <w:rPr>
          <w:rFonts w:hint="eastAsia" w:ascii="仿宋_GB2312" w:hAnsi="仿宋_GB2312" w:eastAsia="仿宋_GB2312" w:cs="仿宋_GB2312"/>
          <w:color w:val="000000"/>
          <w:kern w:val="0"/>
          <w:sz w:val="32"/>
          <w:szCs w:val="32"/>
          <w:u w:val="none" w:color="auto"/>
          <w:lang w:eastAsia="zh-CN"/>
        </w:rPr>
        <w:t>”</w:t>
      </w:r>
      <w:r>
        <w:rPr>
          <w:rFonts w:hint="eastAsia" w:ascii="仿宋_GB2312" w:hAnsi="仿宋_GB2312" w:eastAsia="仿宋_GB2312" w:cs="仿宋_GB2312"/>
          <w:color w:val="000000"/>
          <w:kern w:val="0"/>
          <w:sz w:val="32"/>
          <w:szCs w:val="32"/>
          <w:u w:val="none" w:color="auto"/>
        </w:rPr>
        <w:t>项</w:t>
      </w:r>
      <w:r>
        <w:rPr>
          <w:rFonts w:hint="default" w:ascii="Times New Roman" w:hAnsi="Times New Roman" w:eastAsia="仿宋_GB2312" w:cs="Times New Roman"/>
          <w:color w:val="000000"/>
          <w:kern w:val="0"/>
          <w:sz w:val="32"/>
          <w:szCs w:val="32"/>
          <w:u w:val="none" w:color="auto"/>
        </w:rPr>
        <w:t>目自评综述：根据年初设定的绩效目标，项目自评得分</w:t>
      </w:r>
      <w:r>
        <w:rPr>
          <w:rFonts w:hint="eastAsia" w:cs="Times New Roman"/>
          <w:color w:val="000000"/>
          <w:kern w:val="0"/>
          <w:sz w:val="32"/>
          <w:szCs w:val="32"/>
          <w:u w:val="none" w:color="auto"/>
          <w:lang w:val="en-US" w:eastAsia="zh-CN"/>
        </w:rPr>
        <w:t>94.20</w:t>
      </w:r>
      <w:r>
        <w:rPr>
          <w:rFonts w:hint="default" w:ascii="Times New Roman" w:hAnsi="Times New Roman" w:eastAsia="仿宋_GB2312" w:cs="Times New Roman"/>
          <w:color w:val="000000"/>
          <w:kern w:val="0"/>
          <w:sz w:val="32"/>
          <w:szCs w:val="32"/>
          <w:u w:val="none" w:color="auto"/>
        </w:rPr>
        <w:t>分</w:t>
      </w:r>
      <w:r>
        <w:rPr>
          <w:rFonts w:hint="default" w:ascii="仿宋_GB2312" w:hAnsi="仿宋_GB2312" w:eastAsia="仿宋_GB2312" w:cs="仿宋_GB2312"/>
          <w:color w:val="000000"/>
          <w:kern w:val="0"/>
          <w:sz w:val="32"/>
          <w:szCs w:val="32"/>
          <w:u w:val="none" w:color="auto"/>
          <w:lang w:val="en-US" w:eastAsia="zh-CN"/>
        </w:rPr>
        <w:t>，绩效评价结果为“优”</w:t>
      </w:r>
      <w:r>
        <w:rPr>
          <w:rFonts w:hint="default" w:ascii="Times New Roman" w:hAnsi="Times New Roman" w:eastAsia="仿宋_GB2312" w:cs="Times New Roman"/>
          <w:color w:val="000000"/>
          <w:kern w:val="0"/>
          <w:sz w:val="32"/>
          <w:szCs w:val="32"/>
          <w:u w:val="none" w:color="auto"/>
        </w:rPr>
        <w:t>。全年预算数为</w:t>
      </w:r>
      <w:r>
        <w:rPr>
          <w:rFonts w:hint="eastAsia" w:cs="Times New Roman"/>
          <w:color w:val="000000"/>
          <w:kern w:val="0"/>
          <w:sz w:val="32"/>
          <w:szCs w:val="32"/>
          <w:u w:val="none" w:color="auto"/>
          <w:lang w:val="en-US" w:eastAsia="zh-CN"/>
        </w:rPr>
        <w:t>694.46</w:t>
      </w:r>
      <w:r>
        <w:rPr>
          <w:rFonts w:hint="default" w:ascii="Times New Roman" w:hAnsi="Times New Roman" w:eastAsia="仿宋_GB2312" w:cs="Times New Roman"/>
          <w:color w:val="000000"/>
          <w:kern w:val="0"/>
          <w:sz w:val="32"/>
          <w:szCs w:val="32"/>
          <w:u w:val="none" w:color="auto"/>
        </w:rPr>
        <w:t>万元，执行数为</w:t>
      </w:r>
      <w:r>
        <w:rPr>
          <w:rFonts w:hint="eastAsia" w:cs="Times New Roman"/>
          <w:color w:val="000000"/>
          <w:kern w:val="0"/>
          <w:sz w:val="32"/>
          <w:szCs w:val="32"/>
          <w:u w:val="none" w:color="auto"/>
          <w:lang w:val="en-US" w:eastAsia="zh-CN"/>
        </w:rPr>
        <w:t>609.5</w:t>
      </w:r>
      <w:r>
        <w:rPr>
          <w:rFonts w:hint="default" w:ascii="Times New Roman" w:hAnsi="Times New Roman" w:eastAsia="仿宋_GB2312" w:cs="Times New Roman"/>
          <w:color w:val="000000"/>
          <w:kern w:val="0"/>
          <w:sz w:val="32"/>
          <w:szCs w:val="32"/>
          <w:u w:val="none" w:color="auto"/>
        </w:rPr>
        <w:t>万元，完成预算的</w:t>
      </w:r>
      <w:r>
        <w:rPr>
          <w:rFonts w:hint="eastAsia" w:cs="Times New Roman"/>
          <w:color w:val="000000"/>
          <w:kern w:val="0"/>
          <w:sz w:val="32"/>
          <w:szCs w:val="32"/>
          <w:u w:val="none" w:color="auto"/>
          <w:lang w:val="en-US" w:eastAsia="zh-CN"/>
        </w:rPr>
        <w:t>87.77</w:t>
      </w:r>
      <w:r>
        <w:rPr>
          <w:rFonts w:hint="default" w:ascii="Times New Roman" w:hAnsi="Times New Roman" w:eastAsia="仿宋_GB2312" w:cs="Times New Roman"/>
          <w:color w:val="000000"/>
          <w:kern w:val="0"/>
          <w:sz w:val="32"/>
          <w:szCs w:val="32"/>
          <w:u w:val="none" w:color="auto"/>
        </w:rPr>
        <w:t>%。项目绩效目标完成情况：平台着力于整合全市检查检验资源，实现全市二级及以上医疗机构医学检查检验数据互联互通和结果互认共享。目前平台已正式运行，33家医疗机构通过鄂尔多斯市检验检查结果互认信息平台实现了“检验结果互认”，覆盖了99项医学检验项目和387项医学影像检查项目，截止11月底，全市累计调阅6991次，累计互认2740余人次，节省金额13.5万余元。</w:t>
      </w:r>
      <w:r>
        <w:rPr>
          <w:rFonts w:hint="eastAsia" w:eastAsia="仿宋_GB2312" w:cs="Times New Roman"/>
          <w:color w:val="000000"/>
          <w:kern w:val="0"/>
          <w:sz w:val="32"/>
          <w:szCs w:val="32"/>
          <w:u w:val="none" w:color="auto"/>
          <w:lang w:val="en-US" w:eastAsia="zh-CN"/>
        </w:rPr>
        <w:t>发现的问题及产生原因：部分旗区及市直医疗卫生单位信息化建设领导不够重视，技术水平参差不齐，资金保障不足，投入少且不及时。下一步工作措施：鄂尔多斯市检查检验结果互认平台，通过整合全市检查检验数据资源，推进检查检验数据互联互通和结果互认共享，实现全市二级及以上医疗机构检查检验结果互认。一是对接全市二级以上医疗机构的实验室管理系统，通过实验室室内质评数据确定实验室数据是是否合格。二是完成系统测试和部署，对全市二级以上医疗机构相关使用人员进行系统培训。</w:t>
      </w:r>
    </w:p>
    <w:p w14:paraId="0B3479C5">
      <w:pPr>
        <w:widowControl/>
        <w:spacing w:before="240" w:after="240"/>
        <w:ind w:firstLine="640" w:firstLineChars="200"/>
        <w:rPr>
          <w:rFonts w:hint="default" w:ascii="仿宋_GB2312" w:hAnsi="仿宋_GB2312" w:eastAsia="仿宋_GB2312" w:cs="仿宋_GB2312"/>
          <w:color w:val="000000"/>
          <w:kern w:val="0"/>
          <w:sz w:val="32"/>
          <w:szCs w:val="32"/>
          <w:u w:val="none" w:color="auto"/>
          <w:lang w:val="en-US" w:eastAsia="zh-CN"/>
        </w:rPr>
      </w:pPr>
      <w:r>
        <w:rPr>
          <w:rFonts w:hint="default" w:ascii="仿宋_GB2312" w:hAnsi="仿宋_GB2312" w:eastAsia="仿宋_GB2312" w:cs="仿宋_GB2312"/>
          <w:color w:val="000000"/>
          <w:kern w:val="0"/>
          <w:sz w:val="32"/>
          <w:szCs w:val="32"/>
          <w:u w:val="none" w:color="auto"/>
          <w:lang w:val="en-US" w:eastAsia="zh-CN"/>
        </w:rPr>
        <w:t>3.“重大传染病防控经费”项目自评综述：根据年初设定的绩效目标，项目自评得分</w:t>
      </w:r>
      <w:r>
        <w:rPr>
          <w:rFonts w:hint="eastAsia" w:ascii="仿宋_GB2312" w:hAnsi="仿宋_GB2312" w:eastAsia="仿宋_GB2312" w:cs="仿宋_GB2312"/>
          <w:color w:val="000000"/>
          <w:kern w:val="0"/>
          <w:sz w:val="32"/>
          <w:szCs w:val="32"/>
          <w:u w:val="none" w:color="auto"/>
          <w:lang w:val="en-US" w:eastAsia="zh-CN"/>
        </w:rPr>
        <w:t>98.23</w:t>
      </w:r>
      <w:r>
        <w:rPr>
          <w:rFonts w:hint="default" w:ascii="仿宋_GB2312" w:hAnsi="仿宋_GB2312" w:eastAsia="仿宋_GB2312" w:cs="仿宋_GB2312"/>
          <w:color w:val="000000"/>
          <w:kern w:val="0"/>
          <w:sz w:val="32"/>
          <w:szCs w:val="32"/>
          <w:u w:val="none" w:color="auto"/>
          <w:lang w:val="en-US" w:eastAsia="zh-CN"/>
        </w:rPr>
        <w:t>分，绩效评价结果为“优”。全年预算数为</w:t>
      </w:r>
      <w:r>
        <w:rPr>
          <w:rFonts w:hint="eastAsia" w:ascii="仿宋_GB2312" w:hAnsi="仿宋_GB2312" w:eastAsia="仿宋_GB2312" w:cs="仿宋_GB2312"/>
          <w:color w:val="000000"/>
          <w:kern w:val="0"/>
          <w:sz w:val="32"/>
          <w:szCs w:val="32"/>
          <w:u w:val="none" w:color="auto"/>
          <w:lang w:val="en-US" w:eastAsia="zh-CN"/>
        </w:rPr>
        <w:t>20.00</w:t>
      </w:r>
      <w:r>
        <w:rPr>
          <w:rFonts w:hint="default" w:ascii="仿宋_GB2312" w:hAnsi="仿宋_GB2312" w:eastAsia="仿宋_GB2312" w:cs="仿宋_GB2312"/>
          <w:color w:val="000000"/>
          <w:kern w:val="0"/>
          <w:sz w:val="32"/>
          <w:szCs w:val="32"/>
          <w:u w:val="none" w:color="auto"/>
          <w:lang w:val="en-US" w:eastAsia="zh-CN"/>
        </w:rPr>
        <w:t>万元，执行数为</w:t>
      </w:r>
      <w:r>
        <w:rPr>
          <w:rFonts w:hint="eastAsia" w:ascii="仿宋_GB2312" w:hAnsi="仿宋_GB2312" w:eastAsia="仿宋_GB2312" w:cs="仿宋_GB2312"/>
          <w:color w:val="000000"/>
          <w:kern w:val="0"/>
          <w:sz w:val="32"/>
          <w:szCs w:val="32"/>
          <w:u w:val="none" w:color="auto"/>
          <w:lang w:val="en-US" w:eastAsia="zh-CN"/>
        </w:rPr>
        <w:t>17.73</w:t>
      </w:r>
      <w:r>
        <w:rPr>
          <w:rFonts w:hint="default" w:ascii="仿宋_GB2312" w:hAnsi="仿宋_GB2312" w:eastAsia="仿宋_GB2312" w:cs="仿宋_GB2312"/>
          <w:color w:val="000000"/>
          <w:kern w:val="0"/>
          <w:sz w:val="32"/>
          <w:szCs w:val="32"/>
          <w:u w:val="none" w:color="auto"/>
          <w:lang w:val="en-US" w:eastAsia="zh-CN"/>
        </w:rPr>
        <w:t>万元，完成预算的</w:t>
      </w:r>
      <w:r>
        <w:rPr>
          <w:rFonts w:hint="eastAsia" w:ascii="仿宋_GB2312" w:hAnsi="仿宋_GB2312" w:eastAsia="仿宋_GB2312" w:cs="仿宋_GB2312"/>
          <w:color w:val="000000"/>
          <w:kern w:val="0"/>
          <w:sz w:val="32"/>
          <w:szCs w:val="32"/>
          <w:u w:val="none" w:color="auto"/>
          <w:lang w:val="en-US" w:eastAsia="zh-CN"/>
        </w:rPr>
        <w:t>88.65</w:t>
      </w:r>
      <w:r>
        <w:rPr>
          <w:rFonts w:hint="default" w:ascii="仿宋_GB2312" w:hAnsi="仿宋_GB2312" w:eastAsia="仿宋_GB2312" w:cs="仿宋_GB2312"/>
          <w:color w:val="000000"/>
          <w:kern w:val="0"/>
          <w:sz w:val="32"/>
          <w:szCs w:val="32"/>
          <w:u w:val="none" w:color="auto"/>
          <w:lang w:val="en-US" w:eastAsia="zh-CN"/>
        </w:rPr>
        <w:t>%。项目绩效目标完成情况：扎实做好鼠疫防控工作，全市4个疫源旗均已建立发现报告奖励机制和医疗机构HIS系统鼠疫弹窗功能。进一步加强鼠疫监测力度，踏查面积约30814平方公里，较去年同期的23950平方公里增长29%，规范处置杭锦旗、鄂托克旗动物间鼠疫疫情，判定疫点4处；加强与农牧部门的联防联控，推动落实布病防控三年行动方案，建立布病疫情信息共享通报制度，并开展联合督导工作。截止目前，全市报告布病病例1524例，较去年同期（2213例）下降31.1%；深入实施艾滋病防治质量提升行动，管理的HIV/AIDS存活病例报告质量100%，流调质量100%，抗病毒治疗率91.88%，治疗成功率100%；全市共登记肺结核及疑似肺结核病患者5289例，发现活动性肺结核病患者400例，病原学阳性率76.20%（要求≥62%）；患者管理率98.73%（要求≥95%），智能化管理率97.87%（要求≥85%）；肺结核患者成功治疗率为96.01%（要求≥90%）、总体到位率为98.94%（要求≥95%）。全市登记应筛查耐多药肺结核病原学患者184例，耐药筛查率为98.2%（要求≥95%），共筛出耐多药（包括利福平耐药）患者10例，实际纳入治疗9例，纳入治疗率为90%（要求≥90%）；积极推进丙肝公共卫生危害消除行动。截至目前，丙肝防治核酸检测率86.98%，新报告核酸检测率89.98%，丙肝抗病毒治疗率17.58%，新报告丙肝抗病毒治疗率32.97%，临床治愈率100%。</w:t>
      </w:r>
      <w:r>
        <w:rPr>
          <w:rFonts w:hint="eastAsia" w:eastAsia="仿宋_GB2312" w:cs="Times New Roman"/>
          <w:color w:val="auto"/>
          <w:kern w:val="0"/>
          <w:sz w:val="32"/>
          <w:szCs w:val="32"/>
          <w:highlight w:val="none"/>
          <w:u w:val="none" w:color="auto"/>
          <w:lang w:eastAsia="zh-CN"/>
        </w:rPr>
        <w:t>发现的问题及</w:t>
      </w:r>
      <w:r>
        <w:rPr>
          <w:rFonts w:hint="eastAsia" w:eastAsia="仿宋_GB2312" w:cs="Times New Roman"/>
          <w:color w:val="auto"/>
          <w:kern w:val="0"/>
          <w:sz w:val="32"/>
          <w:szCs w:val="32"/>
          <w:highlight w:val="none"/>
          <w:u w:val="none" w:color="auto"/>
          <w:lang w:val="en-US" w:eastAsia="zh-CN"/>
        </w:rPr>
        <w:t>产生</w:t>
      </w:r>
      <w:r>
        <w:rPr>
          <w:rFonts w:hint="eastAsia" w:eastAsia="仿宋_GB2312" w:cs="Times New Roman"/>
          <w:color w:val="auto"/>
          <w:kern w:val="0"/>
          <w:sz w:val="32"/>
          <w:szCs w:val="32"/>
          <w:highlight w:val="none"/>
          <w:u w:val="none" w:color="auto"/>
          <w:lang w:eastAsia="zh-CN"/>
        </w:rPr>
        <w:t>原因：</w:t>
      </w:r>
      <w:r>
        <w:rPr>
          <w:rFonts w:hint="eastAsia" w:eastAsia="仿宋_GB2312" w:cs="Times New Roman"/>
          <w:color w:val="auto"/>
          <w:kern w:val="0"/>
          <w:sz w:val="32"/>
          <w:szCs w:val="32"/>
          <w:highlight w:val="none"/>
          <w:u w:val="none" w:color="auto"/>
          <w:lang w:val="en-US" w:eastAsia="zh-CN"/>
        </w:rPr>
        <w:t>对项目绩效评价工作学习不够深入，</w:t>
      </w:r>
      <w:r>
        <w:rPr>
          <w:rFonts w:hint="eastAsia" w:eastAsia="仿宋_GB2312" w:cs="Times New Roman"/>
          <w:color w:val="auto"/>
          <w:kern w:val="0"/>
          <w:sz w:val="32"/>
          <w:szCs w:val="32"/>
          <w:highlight w:val="none"/>
          <w:u w:val="none" w:color="auto"/>
          <w:lang w:eastAsia="zh-CN"/>
        </w:rPr>
        <w:t>绩效考核评价指标不够科学。</w:t>
      </w:r>
      <w:r>
        <w:rPr>
          <w:rFonts w:hint="eastAsia" w:ascii="仿宋_GB2312" w:hAnsi="仿宋_GB2312" w:eastAsia="仿宋_GB2312" w:cs="仿宋_GB2312"/>
          <w:color w:val="000000"/>
          <w:kern w:val="0"/>
          <w:sz w:val="32"/>
          <w:szCs w:val="32"/>
          <w:highlight w:val="none"/>
          <w:u w:val="none" w:color="auto"/>
          <w:lang w:val="en-US" w:eastAsia="zh-CN"/>
        </w:rPr>
        <w:t>下</w:t>
      </w:r>
      <w:r>
        <w:rPr>
          <w:rFonts w:hint="eastAsia" w:ascii="仿宋_GB2312" w:hAnsi="仿宋_GB2312" w:eastAsia="仿宋_GB2312" w:cs="仿宋_GB2312"/>
          <w:color w:val="000000"/>
          <w:kern w:val="0"/>
          <w:sz w:val="32"/>
          <w:szCs w:val="32"/>
          <w:u w:val="none" w:color="auto"/>
          <w:lang w:val="en-US" w:eastAsia="zh-CN"/>
        </w:rPr>
        <w:t>一步改进措施：</w:t>
      </w:r>
      <w:r>
        <w:rPr>
          <w:rFonts w:hint="default" w:ascii="仿宋_GB2312" w:hAnsi="仿宋_GB2312" w:eastAsia="仿宋_GB2312" w:cs="仿宋_GB2312"/>
          <w:color w:val="000000"/>
          <w:kern w:val="0"/>
          <w:sz w:val="32"/>
          <w:szCs w:val="32"/>
          <w:u w:val="none" w:color="auto"/>
          <w:lang w:val="en-US" w:eastAsia="zh-CN"/>
        </w:rPr>
        <w:t>下年度</w:t>
      </w:r>
      <w:r>
        <w:rPr>
          <w:rFonts w:hint="eastAsia" w:ascii="仿宋_GB2312" w:hAnsi="仿宋_GB2312" w:eastAsia="仿宋_GB2312" w:cs="仿宋_GB2312"/>
          <w:color w:val="000000"/>
          <w:kern w:val="0"/>
          <w:sz w:val="32"/>
          <w:szCs w:val="32"/>
          <w:u w:val="none" w:color="auto"/>
          <w:lang w:val="en-US" w:eastAsia="zh-CN"/>
        </w:rPr>
        <w:t>及时</w:t>
      </w:r>
      <w:r>
        <w:rPr>
          <w:rFonts w:hint="default" w:ascii="仿宋_GB2312" w:hAnsi="仿宋_GB2312" w:eastAsia="仿宋_GB2312" w:cs="仿宋_GB2312"/>
          <w:color w:val="000000"/>
          <w:kern w:val="0"/>
          <w:sz w:val="32"/>
          <w:szCs w:val="32"/>
          <w:u w:val="none" w:color="auto"/>
          <w:lang w:val="en-US" w:eastAsia="zh-CN"/>
        </w:rPr>
        <w:t>制定经费使用明细，围绕重点传染病宣传科学设置考核指标。。</w:t>
      </w:r>
    </w:p>
    <w:p w14:paraId="3F7588A5">
      <w:pPr>
        <w:widowControl/>
        <w:spacing w:before="240" w:after="240"/>
        <w:ind w:firstLine="640" w:firstLineChars="200"/>
        <w:rPr>
          <w:rFonts w:hint="default" w:ascii="仿宋_GB2312" w:hAnsi="仿宋_GB2312" w:eastAsia="仿宋_GB2312" w:cs="仿宋_GB2312"/>
          <w:color w:val="000000"/>
          <w:kern w:val="0"/>
          <w:sz w:val="32"/>
          <w:szCs w:val="32"/>
          <w:u w:val="none" w:color="auto"/>
          <w:lang w:val="en-US" w:eastAsia="zh-CN"/>
        </w:rPr>
      </w:pPr>
      <w:r>
        <w:rPr>
          <w:rFonts w:hint="eastAsia" w:ascii="仿宋_GB2312" w:hAnsi="仿宋_GB2312" w:eastAsia="仿宋_GB2312" w:cs="仿宋_GB2312"/>
          <w:color w:val="000000"/>
          <w:kern w:val="0"/>
          <w:sz w:val="32"/>
          <w:szCs w:val="32"/>
          <w:u w:val="none" w:color="auto"/>
          <w:lang w:val="en-US" w:eastAsia="zh-CN"/>
        </w:rPr>
        <w:t>4</w:t>
      </w:r>
      <w:r>
        <w:rPr>
          <w:rFonts w:hint="default" w:ascii="仿宋_GB2312" w:hAnsi="仿宋_GB2312" w:eastAsia="仿宋_GB2312" w:cs="仿宋_GB2312"/>
          <w:color w:val="000000"/>
          <w:kern w:val="0"/>
          <w:sz w:val="32"/>
          <w:szCs w:val="32"/>
          <w:u w:val="none" w:color="auto"/>
          <w:lang w:val="en-US" w:eastAsia="zh-CN"/>
        </w:rPr>
        <w:t>.“国家医师资格考试、全国卫生专业技术资格考试考务费”项目自评综述：根据年初设定的绩效目标，项目自评得分</w:t>
      </w:r>
      <w:r>
        <w:rPr>
          <w:rFonts w:hint="eastAsia" w:ascii="仿宋_GB2312" w:hAnsi="仿宋_GB2312" w:eastAsia="仿宋_GB2312" w:cs="仿宋_GB2312"/>
          <w:color w:val="000000"/>
          <w:kern w:val="0"/>
          <w:sz w:val="32"/>
          <w:szCs w:val="32"/>
          <w:u w:val="none" w:color="auto"/>
          <w:lang w:val="en-US" w:eastAsia="zh-CN"/>
        </w:rPr>
        <w:t>:93.6</w:t>
      </w:r>
      <w:r>
        <w:rPr>
          <w:rFonts w:hint="default" w:ascii="仿宋_GB2312" w:hAnsi="仿宋_GB2312" w:eastAsia="仿宋_GB2312" w:cs="仿宋_GB2312"/>
          <w:color w:val="000000"/>
          <w:kern w:val="0"/>
          <w:sz w:val="32"/>
          <w:szCs w:val="32"/>
          <w:u w:val="none" w:color="auto"/>
          <w:lang w:val="en-US" w:eastAsia="zh-CN"/>
        </w:rPr>
        <w:t>分，绩效评价结果为“优”。全年预算数为</w:t>
      </w:r>
      <w:r>
        <w:rPr>
          <w:rFonts w:hint="eastAsia" w:ascii="仿宋_GB2312" w:hAnsi="仿宋_GB2312" w:eastAsia="仿宋_GB2312" w:cs="仿宋_GB2312"/>
          <w:color w:val="000000"/>
          <w:kern w:val="0"/>
          <w:sz w:val="32"/>
          <w:szCs w:val="32"/>
          <w:u w:val="none" w:color="auto"/>
          <w:lang w:val="en-US" w:eastAsia="zh-CN"/>
        </w:rPr>
        <w:t>90.00</w:t>
      </w:r>
      <w:r>
        <w:rPr>
          <w:rFonts w:hint="default" w:ascii="仿宋_GB2312" w:hAnsi="仿宋_GB2312" w:eastAsia="仿宋_GB2312" w:cs="仿宋_GB2312"/>
          <w:color w:val="000000"/>
          <w:kern w:val="0"/>
          <w:sz w:val="32"/>
          <w:szCs w:val="32"/>
          <w:u w:val="none" w:color="auto"/>
          <w:lang w:val="en-US" w:eastAsia="zh-CN"/>
        </w:rPr>
        <w:t>万元，执行数为</w:t>
      </w:r>
      <w:r>
        <w:rPr>
          <w:rFonts w:hint="eastAsia" w:ascii="仿宋_GB2312" w:hAnsi="仿宋_GB2312" w:eastAsia="仿宋_GB2312" w:cs="仿宋_GB2312"/>
          <w:color w:val="000000"/>
          <w:kern w:val="0"/>
          <w:sz w:val="32"/>
          <w:szCs w:val="32"/>
          <w:u w:val="none" w:color="auto"/>
          <w:lang w:val="en-US" w:eastAsia="zh-CN"/>
        </w:rPr>
        <w:t>90.00</w:t>
      </w:r>
      <w:r>
        <w:rPr>
          <w:rFonts w:hint="default" w:ascii="仿宋_GB2312" w:hAnsi="仿宋_GB2312" w:eastAsia="仿宋_GB2312" w:cs="仿宋_GB2312"/>
          <w:color w:val="000000"/>
          <w:kern w:val="0"/>
          <w:sz w:val="32"/>
          <w:szCs w:val="32"/>
          <w:u w:val="none" w:color="auto"/>
          <w:lang w:val="en-US" w:eastAsia="zh-CN"/>
        </w:rPr>
        <w:t>万元，完成预算的</w:t>
      </w:r>
      <w:r>
        <w:rPr>
          <w:rFonts w:hint="eastAsia" w:ascii="仿宋_GB2312" w:hAnsi="仿宋_GB2312" w:eastAsia="仿宋_GB2312" w:cs="仿宋_GB2312"/>
          <w:color w:val="000000"/>
          <w:kern w:val="0"/>
          <w:sz w:val="32"/>
          <w:szCs w:val="32"/>
          <w:u w:val="none" w:color="auto"/>
          <w:lang w:val="en-US" w:eastAsia="zh-CN"/>
        </w:rPr>
        <w:t>100.00</w:t>
      </w:r>
      <w:r>
        <w:rPr>
          <w:rFonts w:hint="default" w:ascii="仿宋_GB2312" w:hAnsi="仿宋_GB2312" w:eastAsia="仿宋_GB2312" w:cs="仿宋_GB2312"/>
          <w:color w:val="000000"/>
          <w:kern w:val="0"/>
          <w:sz w:val="32"/>
          <w:szCs w:val="32"/>
          <w:u w:val="none" w:color="auto"/>
          <w:lang w:val="en-US" w:eastAsia="zh-CN"/>
        </w:rPr>
        <w:t>%。项目绩效目标完成情况：圆满的组织了国家医师资格、护士执业资格、卫生专业技术资格、卫生人才评价、住院医师规范化培训结业考试等五大类10个批次考试的网上报名、审核确认、网上缴费、报考资料退还和考试组织等工作，共计8733名考生参加考试。后续工作计划</w:t>
      </w:r>
      <w:r>
        <w:rPr>
          <w:rFonts w:hint="eastAsia" w:ascii="仿宋_GB2312" w:hAnsi="仿宋_GB2312" w:eastAsia="仿宋_GB2312" w:cs="仿宋_GB2312"/>
          <w:color w:val="000000"/>
          <w:kern w:val="0"/>
          <w:sz w:val="32"/>
          <w:szCs w:val="32"/>
          <w:u w:val="none" w:color="auto"/>
          <w:lang w:val="en-US" w:eastAsia="zh-CN"/>
        </w:rPr>
        <w:t>：</w:t>
      </w:r>
      <w:r>
        <w:rPr>
          <w:rFonts w:hint="default" w:ascii="仿宋_GB2312" w:hAnsi="仿宋_GB2312" w:eastAsia="仿宋_GB2312" w:cs="仿宋_GB2312"/>
          <w:color w:val="000000"/>
          <w:kern w:val="0"/>
          <w:sz w:val="32"/>
          <w:szCs w:val="32"/>
          <w:u w:val="none" w:color="auto"/>
          <w:lang w:val="en-US" w:eastAsia="zh-CN"/>
        </w:rPr>
        <w:t>一是提前部署，精心组织，严格把关，做好年底陆续开始的2025年各类考试报名和资格审核工作。二是持续优化考务流程，协调各方力量，优质完成2025年各类考试任务。</w:t>
      </w:r>
    </w:p>
    <w:p w14:paraId="240D7284">
      <w:pPr>
        <w:widowControl/>
        <w:spacing w:before="240" w:after="240"/>
        <w:ind w:firstLine="640" w:firstLineChars="200"/>
        <w:rPr>
          <w:rFonts w:hint="default" w:ascii="仿宋_GB2312" w:hAnsi="仿宋_GB2312" w:eastAsia="仿宋_GB2312" w:cs="仿宋_GB2312"/>
          <w:color w:val="000000"/>
          <w:kern w:val="0"/>
          <w:sz w:val="32"/>
          <w:szCs w:val="32"/>
          <w:u w:val="none" w:color="auto"/>
          <w:lang w:val="en-US" w:eastAsia="zh-CN"/>
        </w:rPr>
      </w:pPr>
      <w:r>
        <w:rPr>
          <w:rFonts w:hint="eastAsia" w:ascii="仿宋_GB2312" w:hAnsi="仿宋_GB2312" w:eastAsia="仿宋_GB2312" w:cs="仿宋_GB2312"/>
          <w:color w:val="000000"/>
          <w:kern w:val="0"/>
          <w:sz w:val="32"/>
          <w:szCs w:val="32"/>
          <w:u w:val="none" w:color="auto"/>
          <w:lang w:val="en-US" w:eastAsia="zh-CN"/>
        </w:rPr>
        <w:t>5</w:t>
      </w:r>
      <w:r>
        <w:rPr>
          <w:rFonts w:hint="default" w:ascii="仿宋_GB2312" w:hAnsi="仿宋_GB2312" w:eastAsia="仿宋_GB2312" w:cs="仿宋_GB2312"/>
          <w:color w:val="000000"/>
          <w:kern w:val="0"/>
          <w:sz w:val="32"/>
          <w:szCs w:val="32"/>
          <w:u w:val="none" w:color="auto"/>
          <w:lang w:val="en-US" w:eastAsia="zh-CN"/>
        </w:rPr>
        <w:t>.“2024年市级人才工作专项资金”项目自评综述：根据年初设定的绩效目标，项目自评得分</w:t>
      </w:r>
      <w:r>
        <w:rPr>
          <w:rFonts w:hint="eastAsia" w:ascii="仿宋_GB2312" w:hAnsi="仿宋_GB2312" w:eastAsia="仿宋_GB2312" w:cs="仿宋_GB2312"/>
          <w:color w:val="000000"/>
          <w:kern w:val="0"/>
          <w:sz w:val="32"/>
          <w:szCs w:val="32"/>
          <w:u w:val="none" w:color="auto"/>
          <w:lang w:val="en-US" w:eastAsia="zh-CN"/>
        </w:rPr>
        <w:t>:87.32</w:t>
      </w:r>
      <w:r>
        <w:rPr>
          <w:rFonts w:hint="default" w:ascii="仿宋_GB2312" w:hAnsi="仿宋_GB2312" w:eastAsia="仿宋_GB2312" w:cs="仿宋_GB2312"/>
          <w:color w:val="000000"/>
          <w:kern w:val="0"/>
          <w:sz w:val="32"/>
          <w:szCs w:val="32"/>
          <w:u w:val="none" w:color="auto"/>
          <w:lang w:val="en-US" w:eastAsia="zh-CN"/>
        </w:rPr>
        <w:t xml:space="preserve"> 分，绩效评价结果为“</w:t>
      </w:r>
      <w:r>
        <w:rPr>
          <w:rFonts w:hint="eastAsia" w:ascii="仿宋_GB2312" w:hAnsi="仿宋_GB2312" w:eastAsia="仿宋_GB2312" w:cs="仿宋_GB2312"/>
          <w:color w:val="000000"/>
          <w:kern w:val="0"/>
          <w:sz w:val="32"/>
          <w:szCs w:val="32"/>
          <w:u w:val="none" w:color="auto"/>
          <w:lang w:val="en-US" w:eastAsia="zh-CN"/>
        </w:rPr>
        <w:t>良</w:t>
      </w:r>
      <w:r>
        <w:rPr>
          <w:rFonts w:hint="default" w:ascii="仿宋_GB2312" w:hAnsi="仿宋_GB2312" w:eastAsia="仿宋_GB2312" w:cs="仿宋_GB2312"/>
          <w:color w:val="000000"/>
          <w:kern w:val="0"/>
          <w:sz w:val="32"/>
          <w:szCs w:val="32"/>
          <w:u w:val="none" w:color="auto"/>
          <w:lang w:val="en-US" w:eastAsia="zh-CN"/>
        </w:rPr>
        <w:t>”。全年预算数为</w:t>
      </w:r>
      <w:r>
        <w:rPr>
          <w:rFonts w:hint="eastAsia" w:ascii="仿宋_GB2312" w:hAnsi="仿宋_GB2312" w:eastAsia="仿宋_GB2312" w:cs="仿宋_GB2312"/>
          <w:color w:val="000000"/>
          <w:kern w:val="0"/>
          <w:sz w:val="32"/>
          <w:szCs w:val="32"/>
          <w:u w:val="none" w:color="auto"/>
          <w:lang w:val="en-US" w:eastAsia="zh-CN"/>
        </w:rPr>
        <w:t>10.00</w:t>
      </w:r>
      <w:r>
        <w:rPr>
          <w:rFonts w:hint="default" w:ascii="仿宋_GB2312" w:hAnsi="仿宋_GB2312" w:eastAsia="仿宋_GB2312" w:cs="仿宋_GB2312"/>
          <w:color w:val="000000"/>
          <w:kern w:val="0"/>
          <w:sz w:val="32"/>
          <w:szCs w:val="32"/>
          <w:u w:val="none" w:color="auto"/>
          <w:lang w:val="en-US" w:eastAsia="zh-CN"/>
        </w:rPr>
        <w:t>万元，执行数为</w:t>
      </w:r>
      <w:r>
        <w:rPr>
          <w:rFonts w:hint="eastAsia" w:ascii="仿宋_GB2312" w:hAnsi="仿宋_GB2312" w:eastAsia="仿宋_GB2312" w:cs="仿宋_GB2312"/>
          <w:color w:val="000000"/>
          <w:kern w:val="0"/>
          <w:sz w:val="32"/>
          <w:szCs w:val="32"/>
          <w:u w:val="none" w:color="auto"/>
          <w:lang w:val="en-US" w:eastAsia="zh-CN"/>
        </w:rPr>
        <w:t>7.32</w:t>
      </w:r>
      <w:r>
        <w:rPr>
          <w:rFonts w:hint="default" w:ascii="仿宋_GB2312" w:hAnsi="仿宋_GB2312" w:eastAsia="仿宋_GB2312" w:cs="仿宋_GB2312"/>
          <w:color w:val="000000"/>
          <w:kern w:val="0"/>
          <w:sz w:val="32"/>
          <w:szCs w:val="32"/>
          <w:u w:val="none" w:color="auto"/>
          <w:lang w:val="en-US" w:eastAsia="zh-CN"/>
        </w:rPr>
        <w:t>万元，完成预算的</w:t>
      </w:r>
      <w:r>
        <w:rPr>
          <w:rFonts w:hint="eastAsia" w:ascii="仿宋_GB2312" w:hAnsi="仿宋_GB2312" w:eastAsia="仿宋_GB2312" w:cs="仿宋_GB2312"/>
          <w:color w:val="000000"/>
          <w:kern w:val="0"/>
          <w:sz w:val="32"/>
          <w:szCs w:val="32"/>
          <w:u w:val="none" w:color="auto"/>
          <w:lang w:val="en-US" w:eastAsia="zh-CN"/>
        </w:rPr>
        <w:t>73.20</w:t>
      </w:r>
      <w:r>
        <w:rPr>
          <w:rFonts w:hint="default" w:ascii="仿宋_GB2312" w:hAnsi="仿宋_GB2312" w:eastAsia="仿宋_GB2312" w:cs="仿宋_GB2312"/>
          <w:color w:val="000000"/>
          <w:kern w:val="0"/>
          <w:sz w:val="32"/>
          <w:szCs w:val="32"/>
          <w:u w:val="none" w:color="auto"/>
          <w:lang w:val="en-US" w:eastAsia="zh-CN"/>
        </w:rPr>
        <w:t>%。项目绩效目标完成情况：一是结合实际出台《鄂尔多斯市直属医疗卫生机构高层次人才和紧缺专业人才引进培养专项支持计划实施办法》，为我市卫生人才工作提供更具针对性的人才政策。二是通过“绿色通道”、公开招聘和“走出去”的方式引进紧缺卫生人才，2024年全市卫生系统共引进高层次卫生人才117名，公开招聘1035名医疗卫生技术人员。三是加强与市外高层次人才团队合作力度。坚持柔性引才，长期引进市外知名专家及团队，同时加大与市外高等医学院校合作，加强我市人才培养和学科建设。2024年市直公立医院通过柔性引进团队10个，专家238人，建设1个院士工作站、1个博士工作站，5个国内著名教授专家名医工作室。四是积极组织各类人才项目推荐申报工作。全市医疗卫生机构9人入选自治区“英才兴蒙”工程名单;市中心医院1人获批自治区人才开发基金项目，2人入选自治区留学人员创新创业启动支持计划；全市13人入选鄂尔多斯市高层次人才；1个团队入选市产业创新创业团队。推荐市级人才认定21人。</w:t>
      </w:r>
      <w:r>
        <w:rPr>
          <w:rFonts w:hint="eastAsia" w:eastAsia="仿宋_GB2312" w:cs="Times New Roman"/>
          <w:color w:val="auto"/>
          <w:kern w:val="0"/>
          <w:sz w:val="32"/>
          <w:szCs w:val="32"/>
          <w:highlight w:val="none"/>
          <w:u w:val="none" w:color="auto"/>
          <w:lang w:eastAsia="zh-CN"/>
        </w:rPr>
        <w:t>发现的问题及</w:t>
      </w:r>
      <w:r>
        <w:rPr>
          <w:rFonts w:hint="eastAsia" w:eastAsia="仿宋_GB2312" w:cs="Times New Roman"/>
          <w:color w:val="auto"/>
          <w:kern w:val="0"/>
          <w:sz w:val="32"/>
          <w:szCs w:val="32"/>
          <w:highlight w:val="none"/>
          <w:u w:val="none" w:color="auto"/>
          <w:lang w:val="en-US" w:eastAsia="zh-CN"/>
        </w:rPr>
        <w:t>产生</w:t>
      </w:r>
      <w:r>
        <w:rPr>
          <w:rFonts w:hint="eastAsia" w:eastAsia="仿宋_GB2312" w:cs="Times New Roman"/>
          <w:color w:val="auto"/>
          <w:kern w:val="0"/>
          <w:sz w:val="32"/>
          <w:szCs w:val="32"/>
          <w:highlight w:val="none"/>
          <w:u w:val="none" w:color="auto"/>
          <w:lang w:eastAsia="zh-CN"/>
        </w:rPr>
        <w:t>原因：</w:t>
      </w:r>
      <w:r>
        <w:rPr>
          <w:rFonts w:hint="eastAsia" w:eastAsia="仿宋_GB2312" w:cs="Times New Roman"/>
          <w:color w:val="auto"/>
          <w:kern w:val="0"/>
          <w:sz w:val="32"/>
          <w:szCs w:val="32"/>
          <w:highlight w:val="none"/>
          <w:u w:val="none" w:color="auto"/>
          <w:lang w:val="en-US" w:eastAsia="zh-CN"/>
        </w:rPr>
        <w:t>对项目绩效评价工作学习不够深入，</w:t>
      </w:r>
      <w:r>
        <w:rPr>
          <w:rFonts w:hint="eastAsia" w:eastAsia="仿宋_GB2312" w:cs="Times New Roman"/>
          <w:color w:val="auto"/>
          <w:kern w:val="0"/>
          <w:sz w:val="32"/>
          <w:szCs w:val="32"/>
          <w:highlight w:val="none"/>
          <w:u w:val="none" w:color="auto"/>
          <w:lang w:eastAsia="zh-CN"/>
        </w:rPr>
        <w:t>绩效考核评价指标不够科学。</w:t>
      </w:r>
      <w:r>
        <w:rPr>
          <w:rFonts w:hint="eastAsia" w:ascii="仿宋_GB2312" w:hAnsi="仿宋_GB2312" w:eastAsia="仿宋_GB2312" w:cs="仿宋_GB2312"/>
          <w:color w:val="000000"/>
          <w:kern w:val="0"/>
          <w:sz w:val="32"/>
          <w:szCs w:val="32"/>
          <w:highlight w:val="none"/>
          <w:u w:val="none" w:color="auto"/>
          <w:lang w:val="en-US" w:eastAsia="zh-CN"/>
        </w:rPr>
        <w:t>下</w:t>
      </w:r>
      <w:r>
        <w:rPr>
          <w:rFonts w:hint="eastAsia" w:ascii="仿宋_GB2312" w:hAnsi="仿宋_GB2312" w:eastAsia="仿宋_GB2312" w:cs="仿宋_GB2312"/>
          <w:color w:val="000000"/>
          <w:kern w:val="0"/>
          <w:sz w:val="32"/>
          <w:szCs w:val="32"/>
          <w:u w:val="none" w:color="auto"/>
          <w:lang w:val="en-US" w:eastAsia="zh-CN"/>
        </w:rPr>
        <w:t>一步改进措施：</w:t>
      </w:r>
      <w:r>
        <w:rPr>
          <w:rFonts w:hint="default" w:ascii="仿宋_GB2312" w:hAnsi="仿宋_GB2312" w:eastAsia="仿宋_GB2312" w:cs="仿宋_GB2312"/>
          <w:color w:val="000000"/>
          <w:kern w:val="0"/>
          <w:sz w:val="32"/>
          <w:szCs w:val="32"/>
          <w:u w:val="none" w:color="auto"/>
          <w:lang w:val="en-US" w:eastAsia="zh-CN"/>
        </w:rPr>
        <w:t>下年度</w:t>
      </w:r>
      <w:r>
        <w:rPr>
          <w:rFonts w:hint="eastAsia" w:ascii="仿宋_GB2312" w:hAnsi="仿宋_GB2312" w:eastAsia="仿宋_GB2312" w:cs="仿宋_GB2312"/>
          <w:color w:val="000000"/>
          <w:kern w:val="0"/>
          <w:sz w:val="32"/>
          <w:szCs w:val="32"/>
          <w:u w:val="none" w:color="auto"/>
          <w:lang w:val="en-US" w:eastAsia="zh-CN"/>
        </w:rPr>
        <w:t>及时</w:t>
      </w:r>
      <w:r>
        <w:rPr>
          <w:rFonts w:hint="default" w:ascii="仿宋_GB2312" w:hAnsi="仿宋_GB2312" w:eastAsia="仿宋_GB2312" w:cs="仿宋_GB2312"/>
          <w:color w:val="000000"/>
          <w:kern w:val="0"/>
          <w:sz w:val="32"/>
          <w:szCs w:val="32"/>
          <w:u w:val="none" w:color="auto"/>
          <w:lang w:val="en-US" w:eastAsia="zh-CN"/>
        </w:rPr>
        <w:t>制定经费使用明细，加大高层次人才引进力度，做好高层次人才引进、培养计划和实施工作。</w:t>
      </w:r>
    </w:p>
    <w:p w14:paraId="19AD69FC">
      <w:pPr>
        <w:widowControl/>
        <w:spacing w:before="240" w:after="240"/>
        <w:ind w:firstLine="540" w:firstLineChars="200"/>
        <w:rPr>
          <w:rFonts w:hint="default" w:ascii="仿宋_GB2312" w:hAnsi="仿宋_GB2312" w:eastAsia="仿宋_GB2312" w:cs="仿宋_GB2312"/>
          <w:color w:val="000000"/>
          <w:kern w:val="0"/>
          <w:sz w:val="27"/>
          <w:szCs w:val="27"/>
          <w:u w:val="none" w:color="auto"/>
          <w:lang w:val="en-US" w:eastAsia="zh-CN"/>
        </w:rPr>
      </w:pP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725"/>
        <w:gridCol w:w="737"/>
        <w:gridCol w:w="965"/>
        <w:gridCol w:w="1122"/>
        <w:gridCol w:w="638"/>
        <w:gridCol w:w="740"/>
        <w:gridCol w:w="869"/>
        <w:gridCol w:w="889"/>
        <w:gridCol w:w="797"/>
        <w:gridCol w:w="704"/>
        <w:gridCol w:w="666"/>
        <w:gridCol w:w="1104"/>
      </w:tblGrid>
      <w:tr w14:paraId="6062A6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5471C2C2">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14:paraId="55EAD1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A36042B">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26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5D9967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重点人群免费三癌四高筛查经费</w:t>
            </w:r>
          </w:p>
        </w:tc>
      </w:tr>
      <w:tr w14:paraId="4CBB7F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E9D222">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74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44713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鄂尔多斯市卫生健康委员会（鄂尔多斯市中医药管理局）（部门）</w:t>
            </w:r>
          </w:p>
        </w:tc>
        <w:tc>
          <w:tcPr>
            <w:tcW w:w="8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965E7F">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29"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2D5078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w:t>
            </w:r>
          </w:p>
        </w:tc>
      </w:tr>
      <w:tr w14:paraId="28E6C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3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F86A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C9EC03">
            <w:pP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FB52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22EFE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8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C967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2B7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B0E98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431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3BE780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EFB92A">
            <w:pPr>
              <w:jc w:val="center"/>
              <w:rPr>
                <w:rFonts w:hint="eastAsia" w:ascii="宋体" w:hAnsi="宋体" w:eastAsia="宋体" w:cs="宋体"/>
                <w:i w:val="0"/>
                <w:iCs w:val="0"/>
                <w:color w:val="000000"/>
                <w:sz w:val="18"/>
                <w:szCs w:val="18"/>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7D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23FF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4396</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60562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DF1C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A1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B4B49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F78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r>
      <w:tr w14:paraId="7B1CA1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BDF69B">
            <w:pPr>
              <w:jc w:val="center"/>
              <w:rPr>
                <w:rFonts w:hint="eastAsia" w:ascii="宋体" w:hAnsi="宋体" w:eastAsia="宋体" w:cs="宋体"/>
                <w:i w:val="0"/>
                <w:iCs w:val="0"/>
                <w:color w:val="000000"/>
                <w:sz w:val="18"/>
                <w:szCs w:val="18"/>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36F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35CD91">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4396</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2BB9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280E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13E196">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9335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103E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6937A3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0A0060">
            <w:pPr>
              <w:jc w:val="center"/>
              <w:rPr>
                <w:rFonts w:hint="eastAsia" w:ascii="宋体" w:hAnsi="宋体" w:eastAsia="宋体" w:cs="宋体"/>
                <w:i w:val="0"/>
                <w:iCs w:val="0"/>
                <w:color w:val="000000"/>
                <w:sz w:val="18"/>
                <w:szCs w:val="18"/>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FAC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812BA9">
            <w:pPr>
              <w:rPr>
                <w:rFonts w:hint="eastAsia" w:ascii="宋体" w:hAnsi="宋体" w:eastAsia="宋体" w:cs="宋体"/>
                <w:i w:val="0"/>
                <w:iCs w:val="0"/>
                <w:color w:val="000000"/>
                <w:sz w:val="18"/>
                <w:szCs w:val="18"/>
                <w:u w:val="none"/>
              </w:rPr>
            </w:pP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E3F83DE">
            <w:pPr>
              <w:jc w:val="center"/>
              <w:rPr>
                <w:rFonts w:hint="eastAsia" w:ascii="宋体" w:hAnsi="宋体" w:eastAsia="宋体" w:cs="宋体"/>
                <w:i w:val="0"/>
                <w:iCs w:val="0"/>
                <w:color w:val="000000"/>
                <w:sz w:val="18"/>
                <w:szCs w:val="18"/>
                <w:u w:val="none"/>
              </w:rPr>
            </w:pPr>
          </w:p>
        </w:tc>
        <w:tc>
          <w:tcPr>
            <w:tcW w:w="8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67BE5A">
            <w:pPr>
              <w:jc w:val="center"/>
              <w:rPr>
                <w:rFonts w:hint="eastAsia" w:ascii="宋体" w:hAnsi="宋体" w:eastAsia="宋体" w:cs="宋体"/>
                <w:i w:val="0"/>
                <w:iCs w:val="0"/>
                <w:color w:val="000000"/>
                <w:sz w:val="18"/>
                <w:szCs w:val="18"/>
                <w:u w:val="none"/>
              </w:rPr>
            </w:pP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5FAC0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D9BCEA8">
            <w:pPr>
              <w:jc w:val="center"/>
              <w:rPr>
                <w:rFonts w:hint="eastAsia" w:ascii="宋体" w:hAnsi="宋体" w:eastAsia="宋体" w:cs="宋体"/>
                <w:i w:val="0"/>
                <w:iCs w:val="0"/>
                <w:color w:val="000000"/>
                <w:sz w:val="18"/>
                <w:szCs w:val="18"/>
                <w:u w:val="none"/>
              </w:rPr>
            </w:pP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724D0">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1ED9BA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397B5A">
            <w:pPr>
              <w:jc w:val="center"/>
              <w:rPr>
                <w:rFonts w:hint="eastAsia" w:ascii="宋体" w:hAnsi="宋体" w:eastAsia="宋体" w:cs="宋体"/>
                <w:i w:val="0"/>
                <w:iCs w:val="0"/>
                <w:color w:val="000000"/>
                <w:sz w:val="18"/>
                <w:szCs w:val="18"/>
                <w:u w:val="none"/>
              </w:rPr>
            </w:pP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0F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FCE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9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0EFE8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1651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8B996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7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B4A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55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CF2C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04D17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3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FADF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1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0F1A1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9CBED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509F2A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73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79635E">
            <w:pPr>
              <w:jc w:val="center"/>
              <w:rPr>
                <w:rFonts w:hint="eastAsia" w:ascii="宋体" w:hAnsi="宋体" w:eastAsia="宋体" w:cs="宋体"/>
                <w:i w:val="0"/>
                <w:iCs w:val="0"/>
                <w:color w:val="000000"/>
                <w:sz w:val="18"/>
                <w:szCs w:val="18"/>
                <w:u w:val="none"/>
              </w:rPr>
            </w:pPr>
          </w:p>
        </w:tc>
        <w:tc>
          <w:tcPr>
            <w:tcW w:w="2184"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9F234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进一步将癌症防控关口前移，提升癌症的早诊率和5年生存率，有效控制慢性病危险因素，实现全人群全生命周期健康管理，提升结直肠癌、肝癌、肺癌的早诊率和5年生存率。</w:t>
            </w:r>
          </w:p>
        </w:tc>
        <w:tc>
          <w:tcPr>
            <w:tcW w:w="2077"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FEDD1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进一步将癌症防控关口前移，提升癌症的早诊率和5年生存率，有效控制慢性病危险因素，实现全人群全生命周期健康管理，提升结直肠癌、肝癌、肺癌的早诊率和5年生存率。</w:t>
            </w:r>
          </w:p>
        </w:tc>
      </w:tr>
      <w:tr w14:paraId="2654B8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60" w:hRule="atLeast"/>
        </w:trPr>
        <w:tc>
          <w:tcPr>
            <w:tcW w:w="36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814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635F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43A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6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8FC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3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672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5EAD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3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13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4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00D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39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AF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21A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E81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26613">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4D4AE7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restart"/>
            <w:tcBorders>
              <w:top w:val="single" w:color="000000" w:sz="4" w:space="0"/>
              <w:left w:val="single" w:color="000000" w:sz="4" w:space="0"/>
              <w:bottom w:val="nil"/>
              <w:right w:val="single" w:color="000000" w:sz="4" w:space="0"/>
            </w:tcBorders>
            <w:shd w:val="clear" w:color="auto" w:fill="auto"/>
            <w:vAlign w:val="center"/>
          </w:tcPr>
          <w:p w14:paraId="6809CF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372" w:type="pct"/>
            <w:vMerge w:val="restart"/>
            <w:tcBorders>
              <w:top w:val="single" w:color="000000" w:sz="4" w:space="0"/>
              <w:left w:val="single" w:color="000000" w:sz="4" w:space="0"/>
              <w:bottom w:val="nil"/>
              <w:right w:val="single" w:color="000000" w:sz="4" w:space="0"/>
            </w:tcBorders>
            <w:shd w:val="clear" w:color="auto" w:fill="auto"/>
            <w:vAlign w:val="center"/>
          </w:tcPr>
          <w:p w14:paraId="503165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86" w:type="pct"/>
            <w:vMerge w:val="restart"/>
            <w:tcBorders>
              <w:top w:val="single" w:color="000000" w:sz="4" w:space="0"/>
              <w:left w:val="single" w:color="000000" w:sz="4" w:space="0"/>
              <w:bottom w:val="nil"/>
              <w:right w:val="single" w:color="000000" w:sz="4" w:space="0"/>
            </w:tcBorders>
            <w:shd w:val="clear" w:color="auto" w:fill="auto"/>
            <w:vAlign w:val="center"/>
          </w:tcPr>
          <w:p w14:paraId="0A6C4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27CD67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政策覆盖旗区数</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5ACBCE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D91B8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759AD5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74E67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5E3CDC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20C3A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128E4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6E4901C7">
            <w:pPr>
              <w:jc w:val="center"/>
              <w:rPr>
                <w:rFonts w:hint="eastAsia" w:ascii="宋体" w:hAnsi="宋体" w:eastAsia="宋体" w:cs="宋体"/>
                <w:i w:val="0"/>
                <w:iCs w:val="0"/>
                <w:color w:val="000000"/>
                <w:sz w:val="18"/>
                <w:szCs w:val="18"/>
                <w:u w:val="none"/>
              </w:rPr>
            </w:pPr>
          </w:p>
        </w:tc>
      </w:tr>
      <w:tr w14:paraId="1B65B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38ADE271">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36D6A108">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675FD7EA">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0FC394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结直肠癌本年度筛查人数</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7221F5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5C9A89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256452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31FF36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158657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万人</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79E27D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3EAC46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3191C89B">
            <w:pPr>
              <w:jc w:val="center"/>
              <w:rPr>
                <w:rFonts w:hint="eastAsia" w:ascii="宋体" w:hAnsi="宋体" w:eastAsia="宋体" w:cs="宋体"/>
                <w:i w:val="0"/>
                <w:iCs w:val="0"/>
                <w:color w:val="000000"/>
                <w:sz w:val="18"/>
                <w:szCs w:val="18"/>
                <w:u w:val="none"/>
              </w:rPr>
            </w:pPr>
          </w:p>
        </w:tc>
      </w:tr>
      <w:tr w14:paraId="5A5BA3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79D36357">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5E22DA12">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4F864FB2">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521937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肝癌肺癌本年度筛查人数</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0721D3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37E4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77A70A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01E91D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6884AF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万人</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7CBBA4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68B2B12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49E7F7F1">
            <w:pPr>
              <w:jc w:val="center"/>
              <w:rPr>
                <w:rFonts w:hint="eastAsia" w:ascii="宋体" w:hAnsi="宋体" w:eastAsia="宋体" w:cs="宋体"/>
                <w:i w:val="0"/>
                <w:iCs w:val="0"/>
                <w:color w:val="000000"/>
                <w:sz w:val="18"/>
                <w:szCs w:val="18"/>
                <w:u w:val="none"/>
              </w:rPr>
            </w:pPr>
          </w:p>
        </w:tc>
      </w:tr>
      <w:tr w14:paraId="5A427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3E56CE17">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3B29FBDC">
            <w:pPr>
              <w:jc w:val="center"/>
              <w:rPr>
                <w:rFonts w:hint="eastAsia" w:ascii="宋体" w:hAnsi="宋体" w:eastAsia="宋体" w:cs="宋体"/>
                <w:i w:val="0"/>
                <w:iCs w:val="0"/>
                <w:color w:val="000000"/>
                <w:sz w:val="18"/>
                <w:szCs w:val="18"/>
                <w:u w:val="none"/>
              </w:rPr>
            </w:pPr>
          </w:p>
        </w:tc>
        <w:tc>
          <w:tcPr>
            <w:tcW w:w="486" w:type="pct"/>
            <w:vMerge w:val="restart"/>
            <w:tcBorders>
              <w:top w:val="single" w:color="000000" w:sz="4" w:space="0"/>
              <w:left w:val="single" w:color="000000" w:sz="4" w:space="0"/>
              <w:bottom w:val="nil"/>
              <w:right w:val="single" w:color="000000" w:sz="4" w:space="0"/>
            </w:tcBorders>
            <w:shd w:val="clear" w:color="auto" w:fill="auto"/>
            <w:vAlign w:val="center"/>
          </w:tcPr>
          <w:p w14:paraId="74A910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73E769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筛查结果回访率</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00849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6AE5D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7B3F4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3AE504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077CD0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66D615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4FFB4C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3A062D91">
            <w:pPr>
              <w:jc w:val="center"/>
              <w:rPr>
                <w:rFonts w:hint="eastAsia" w:ascii="宋体" w:hAnsi="宋体" w:eastAsia="宋体" w:cs="宋体"/>
                <w:i w:val="0"/>
                <w:iCs w:val="0"/>
                <w:color w:val="000000"/>
                <w:sz w:val="18"/>
                <w:szCs w:val="18"/>
                <w:u w:val="none"/>
              </w:rPr>
            </w:pPr>
          </w:p>
        </w:tc>
      </w:tr>
      <w:tr w14:paraId="71460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781F8A0D">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6AF69536">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641FF71E">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58645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资金执行率</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790FA8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D83DD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659502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7CC3C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362412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7CE3C0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652448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29A2E223">
            <w:pPr>
              <w:jc w:val="center"/>
              <w:rPr>
                <w:rFonts w:hint="eastAsia" w:ascii="宋体" w:hAnsi="宋体" w:eastAsia="宋体" w:cs="宋体"/>
                <w:i w:val="0"/>
                <w:iCs w:val="0"/>
                <w:color w:val="000000"/>
                <w:sz w:val="18"/>
                <w:szCs w:val="18"/>
                <w:u w:val="none"/>
              </w:rPr>
            </w:pPr>
          </w:p>
        </w:tc>
      </w:tr>
      <w:tr w14:paraId="006A5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7EBC05DC">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4B18C496">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07A660EC">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00097D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筛查任务完成率</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1D4B57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191C4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64FD11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28EFC6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765B85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116C29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56AA6D4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0764C8DD">
            <w:pPr>
              <w:jc w:val="center"/>
              <w:rPr>
                <w:rFonts w:hint="eastAsia" w:ascii="宋体" w:hAnsi="宋体" w:eastAsia="宋体" w:cs="宋体"/>
                <w:i w:val="0"/>
                <w:iCs w:val="0"/>
                <w:color w:val="000000"/>
                <w:sz w:val="18"/>
                <w:szCs w:val="18"/>
                <w:u w:val="none"/>
              </w:rPr>
            </w:pPr>
          </w:p>
        </w:tc>
      </w:tr>
      <w:tr w14:paraId="42B0FA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14363405">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38B5A72B">
            <w:pPr>
              <w:jc w:val="center"/>
              <w:rPr>
                <w:rFonts w:hint="eastAsia" w:ascii="宋体" w:hAnsi="宋体" w:eastAsia="宋体" w:cs="宋体"/>
                <w:i w:val="0"/>
                <w:iCs w:val="0"/>
                <w:color w:val="000000"/>
                <w:sz w:val="18"/>
                <w:szCs w:val="18"/>
                <w:u w:val="none"/>
              </w:rPr>
            </w:pPr>
          </w:p>
        </w:tc>
        <w:tc>
          <w:tcPr>
            <w:tcW w:w="486" w:type="pct"/>
            <w:vMerge w:val="restart"/>
            <w:tcBorders>
              <w:top w:val="single" w:color="000000" w:sz="4" w:space="0"/>
              <w:left w:val="single" w:color="000000" w:sz="4" w:space="0"/>
              <w:bottom w:val="nil"/>
              <w:right w:val="single" w:color="000000" w:sz="4" w:space="0"/>
            </w:tcBorders>
            <w:shd w:val="clear" w:color="auto" w:fill="auto"/>
            <w:vAlign w:val="center"/>
          </w:tcPr>
          <w:p w14:paraId="0B445E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2D8D60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任务完成时限</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6E9D14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092DB6B">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BCBA0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7E7151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349E54C7">
            <w:pPr>
              <w:jc w:val="center"/>
              <w:rPr>
                <w:rFonts w:hint="eastAsia" w:ascii="宋体" w:hAnsi="宋体" w:eastAsia="宋体" w:cs="宋体"/>
                <w:i w:val="0"/>
                <w:iCs w:val="0"/>
                <w:color w:val="000000"/>
                <w:sz w:val="18"/>
                <w:szCs w:val="18"/>
                <w:u w:val="none"/>
              </w:rPr>
            </w:pPr>
          </w:p>
        </w:tc>
        <w:tc>
          <w:tcPr>
            <w:tcW w:w="355" w:type="pct"/>
            <w:tcBorders>
              <w:top w:val="single" w:color="000000" w:sz="4" w:space="0"/>
              <w:left w:val="single" w:color="000000" w:sz="4" w:space="0"/>
              <w:bottom w:val="nil"/>
              <w:right w:val="single" w:color="000000" w:sz="4" w:space="0"/>
            </w:tcBorders>
            <w:shd w:val="clear" w:color="auto" w:fill="auto"/>
            <w:vAlign w:val="center"/>
          </w:tcPr>
          <w:p w14:paraId="112046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482BAF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30129C2B">
            <w:pPr>
              <w:jc w:val="center"/>
              <w:rPr>
                <w:rFonts w:hint="eastAsia" w:ascii="宋体" w:hAnsi="宋体" w:eastAsia="宋体" w:cs="宋体"/>
                <w:i w:val="0"/>
                <w:iCs w:val="0"/>
                <w:color w:val="000000"/>
                <w:sz w:val="18"/>
                <w:szCs w:val="18"/>
                <w:u w:val="none"/>
              </w:rPr>
            </w:pPr>
          </w:p>
        </w:tc>
      </w:tr>
      <w:tr w14:paraId="3BCCAA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0E13AA47">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0C24A1A5">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611BE5EF">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6F1A52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5EEBEB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69C6C5D">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345B6F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2AF21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5E1ACF31">
            <w:pPr>
              <w:jc w:val="center"/>
              <w:rPr>
                <w:rFonts w:hint="eastAsia" w:ascii="宋体" w:hAnsi="宋体" w:eastAsia="宋体" w:cs="宋体"/>
                <w:i w:val="0"/>
                <w:iCs w:val="0"/>
                <w:color w:val="000000"/>
                <w:sz w:val="18"/>
                <w:szCs w:val="18"/>
                <w:u w:val="none"/>
              </w:rPr>
            </w:pPr>
          </w:p>
        </w:tc>
        <w:tc>
          <w:tcPr>
            <w:tcW w:w="355" w:type="pct"/>
            <w:tcBorders>
              <w:top w:val="single" w:color="000000" w:sz="4" w:space="0"/>
              <w:left w:val="single" w:color="000000" w:sz="4" w:space="0"/>
              <w:bottom w:val="nil"/>
              <w:right w:val="single" w:color="000000" w:sz="4" w:space="0"/>
            </w:tcBorders>
            <w:shd w:val="clear" w:color="auto" w:fill="auto"/>
            <w:vAlign w:val="center"/>
          </w:tcPr>
          <w:p w14:paraId="019D26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1CF88F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796D0FA4">
            <w:pPr>
              <w:jc w:val="center"/>
              <w:rPr>
                <w:rFonts w:hint="eastAsia" w:ascii="宋体" w:hAnsi="宋体" w:eastAsia="宋体" w:cs="宋体"/>
                <w:i w:val="0"/>
                <w:iCs w:val="0"/>
                <w:color w:val="000000"/>
                <w:sz w:val="18"/>
                <w:szCs w:val="18"/>
                <w:u w:val="none"/>
              </w:rPr>
            </w:pPr>
          </w:p>
        </w:tc>
      </w:tr>
      <w:tr w14:paraId="5009D03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6DDCF450">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73A1E1E7">
            <w:pPr>
              <w:jc w:val="center"/>
              <w:rPr>
                <w:rFonts w:hint="eastAsia" w:ascii="宋体" w:hAnsi="宋体" w:eastAsia="宋体" w:cs="宋体"/>
                <w:i w:val="0"/>
                <w:iCs w:val="0"/>
                <w:color w:val="000000"/>
                <w:sz w:val="18"/>
                <w:szCs w:val="18"/>
                <w:u w:val="none"/>
              </w:rPr>
            </w:pPr>
          </w:p>
        </w:tc>
        <w:tc>
          <w:tcPr>
            <w:tcW w:w="486" w:type="pct"/>
            <w:vMerge w:val="restart"/>
            <w:tcBorders>
              <w:top w:val="single" w:color="000000" w:sz="4" w:space="0"/>
              <w:left w:val="single" w:color="000000" w:sz="4" w:space="0"/>
              <w:bottom w:val="nil"/>
              <w:right w:val="single" w:color="000000" w:sz="4" w:space="0"/>
            </w:tcBorders>
            <w:shd w:val="clear" w:color="auto" w:fill="auto"/>
            <w:vAlign w:val="center"/>
          </w:tcPr>
          <w:p w14:paraId="776E9B5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6F36BB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结直肠癌筛查费补助标准</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4AC9F2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C4E82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70BC9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17A6E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00C593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5249F4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36291C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14D91822">
            <w:pPr>
              <w:jc w:val="center"/>
              <w:rPr>
                <w:rFonts w:hint="eastAsia" w:ascii="宋体" w:hAnsi="宋体" w:eastAsia="宋体" w:cs="宋体"/>
                <w:i w:val="0"/>
                <w:iCs w:val="0"/>
                <w:color w:val="000000"/>
                <w:sz w:val="18"/>
                <w:szCs w:val="18"/>
                <w:u w:val="none"/>
              </w:rPr>
            </w:pPr>
          </w:p>
        </w:tc>
      </w:tr>
      <w:tr w14:paraId="1C3F7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0D7FCACC">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0B801562">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2A7723D4">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3C1FD9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肝癌肺癌筛查费补助标准</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4C19D0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207DABD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2011BE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4FF32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19DA64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402860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17FF54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4AE0F57C">
            <w:pPr>
              <w:jc w:val="center"/>
              <w:rPr>
                <w:rFonts w:hint="eastAsia" w:ascii="宋体" w:hAnsi="宋体" w:eastAsia="宋体" w:cs="宋体"/>
                <w:i w:val="0"/>
                <w:iCs w:val="0"/>
                <w:color w:val="000000"/>
                <w:sz w:val="18"/>
                <w:szCs w:val="18"/>
                <w:u w:val="none"/>
              </w:rPr>
            </w:pPr>
          </w:p>
        </w:tc>
      </w:tr>
      <w:tr w14:paraId="4034E2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4173148D">
            <w:pPr>
              <w:jc w:val="center"/>
              <w:rPr>
                <w:rFonts w:hint="eastAsia" w:ascii="宋体" w:hAnsi="宋体" w:eastAsia="宋体" w:cs="宋体"/>
                <w:i w:val="0"/>
                <w:iCs w:val="0"/>
                <w:color w:val="000000"/>
                <w:sz w:val="18"/>
                <w:szCs w:val="18"/>
                <w:u w:val="none"/>
              </w:rPr>
            </w:pPr>
          </w:p>
        </w:tc>
        <w:tc>
          <w:tcPr>
            <w:tcW w:w="372" w:type="pct"/>
            <w:vMerge w:val="restart"/>
            <w:tcBorders>
              <w:top w:val="single" w:color="000000" w:sz="4" w:space="0"/>
              <w:left w:val="single" w:color="000000" w:sz="4" w:space="0"/>
              <w:bottom w:val="nil"/>
              <w:right w:val="single" w:color="000000" w:sz="4" w:space="0"/>
            </w:tcBorders>
            <w:shd w:val="clear" w:color="auto" w:fill="auto"/>
            <w:vAlign w:val="center"/>
          </w:tcPr>
          <w:p w14:paraId="2CCCA42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86" w:type="pct"/>
            <w:vMerge w:val="restart"/>
            <w:tcBorders>
              <w:top w:val="single" w:color="000000" w:sz="4" w:space="0"/>
              <w:left w:val="single" w:color="000000" w:sz="4" w:space="0"/>
              <w:bottom w:val="nil"/>
              <w:right w:val="single" w:color="000000" w:sz="4" w:space="0"/>
            </w:tcBorders>
            <w:shd w:val="clear" w:color="auto" w:fill="auto"/>
            <w:vAlign w:val="center"/>
          </w:tcPr>
          <w:p w14:paraId="17A893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4FAD07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癌症防控关口前移</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27BF4E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57A047D9">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34789A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关口前移</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2F9BD4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前移</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467BB5E0">
            <w:pPr>
              <w:jc w:val="center"/>
              <w:rPr>
                <w:rFonts w:hint="eastAsia" w:ascii="宋体" w:hAnsi="宋体" w:eastAsia="宋体" w:cs="宋体"/>
                <w:i w:val="0"/>
                <w:iCs w:val="0"/>
                <w:color w:val="000000"/>
                <w:sz w:val="18"/>
                <w:szCs w:val="18"/>
                <w:u w:val="none"/>
              </w:rPr>
            </w:pPr>
          </w:p>
        </w:tc>
        <w:tc>
          <w:tcPr>
            <w:tcW w:w="355" w:type="pct"/>
            <w:tcBorders>
              <w:top w:val="single" w:color="000000" w:sz="4" w:space="0"/>
              <w:left w:val="single" w:color="000000" w:sz="4" w:space="0"/>
              <w:bottom w:val="nil"/>
              <w:right w:val="single" w:color="000000" w:sz="4" w:space="0"/>
            </w:tcBorders>
            <w:shd w:val="clear" w:color="auto" w:fill="auto"/>
            <w:vAlign w:val="center"/>
          </w:tcPr>
          <w:p w14:paraId="116001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2698D1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797BD910">
            <w:pPr>
              <w:jc w:val="center"/>
              <w:rPr>
                <w:rFonts w:hint="eastAsia" w:ascii="宋体" w:hAnsi="宋体" w:eastAsia="宋体" w:cs="宋体"/>
                <w:i w:val="0"/>
                <w:iCs w:val="0"/>
                <w:color w:val="000000"/>
                <w:sz w:val="18"/>
                <w:szCs w:val="18"/>
                <w:u w:val="none"/>
              </w:rPr>
            </w:pPr>
          </w:p>
        </w:tc>
      </w:tr>
      <w:tr w14:paraId="4BE3AA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7BB1DA38">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4E73CF18">
            <w:pPr>
              <w:jc w:val="center"/>
              <w:rPr>
                <w:rFonts w:hint="eastAsia" w:ascii="宋体" w:hAnsi="宋体" w:eastAsia="宋体" w:cs="宋体"/>
                <w:i w:val="0"/>
                <w:iCs w:val="0"/>
                <w:color w:val="000000"/>
                <w:sz w:val="18"/>
                <w:szCs w:val="18"/>
                <w:u w:val="none"/>
              </w:rPr>
            </w:pPr>
          </w:p>
        </w:tc>
        <w:tc>
          <w:tcPr>
            <w:tcW w:w="486" w:type="pct"/>
            <w:vMerge w:val="continue"/>
            <w:tcBorders>
              <w:top w:val="single" w:color="000000" w:sz="4" w:space="0"/>
              <w:left w:val="single" w:color="000000" w:sz="4" w:space="0"/>
              <w:bottom w:val="nil"/>
              <w:right w:val="single" w:color="000000" w:sz="4" w:space="0"/>
            </w:tcBorders>
            <w:shd w:val="clear" w:color="auto" w:fill="auto"/>
            <w:vAlign w:val="center"/>
          </w:tcPr>
          <w:p w14:paraId="399A4A62">
            <w:pPr>
              <w:jc w:val="center"/>
              <w:rPr>
                <w:rFonts w:hint="eastAsia" w:ascii="宋体" w:hAnsi="宋体" w:eastAsia="宋体" w:cs="宋体"/>
                <w:i w:val="0"/>
                <w:iCs w:val="0"/>
                <w:color w:val="000000"/>
                <w:sz w:val="18"/>
                <w:szCs w:val="18"/>
                <w:u w:val="none"/>
              </w:rPr>
            </w:pPr>
          </w:p>
        </w:tc>
        <w:tc>
          <w:tcPr>
            <w:tcW w:w="565" w:type="pct"/>
            <w:tcBorders>
              <w:top w:val="single" w:color="000000" w:sz="4" w:space="0"/>
              <w:left w:val="single" w:color="000000" w:sz="4" w:space="0"/>
              <w:bottom w:val="nil"/>
              <w:right w:val="single" w:color="000000" w:sz="4" w:space="0"/>
            </w:tcBorders>
            <w:shd w:val="clear" w:color="auto" w:fill="auto"/>
            <w:vAlign w:val="center"/>
          </w:tcPr>
          <w:p w14:paraId="0F2FFE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减轻居民医药负担</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398FE9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CC51723">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160C01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减轻负担</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2B87C0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减轻</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3298E510">
            <w:pPr>
              <w:jc w:val="center"/>
              <w:rPr>
                <w:rFonts w:hint="eastAsia" w:ascii="宋体" w:hAnsi="宋体" w:eastAsia="宋体" w:cs="宋体"/>
                <w:i w:val="0"/>
                <w:iCs w:val="0"/>
                <w:color w:val="000000"/>
                <w:sz w:val="18"/>
                <w:szCs w:val="18"/>
                <w:u w:val="none"/>
              </w:rPr>
            </w:pPr>
          </w:p>
        </w:tc>
        <w:tc>
          <w:tcPr>
            <w:tcW w:w="355" w:type="pct"/>
            <w:tcBorders>
              <w:top w:val="single" w:color="000000" w:sz="4" w:space="0"/>
              <w:left w:val="single" w:color="000000" w:sz="4" w:space="0"/>
              <w:bottom w:val="nil"/>
              <w:right w:val="single" w:color="000000" w:sz="4" w:space="0"/>
            </w:tcBorders>
            <w:shd w:val="clear" w:color="auto" w:fill="auto"/>
            <w:vAlign w:val="center"/>
          </w:tcPr>
          <w:p w14:paraId="4820F8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763AAD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2D5F5240">
            <w:pPr>
              <w:jc w:val="center"/>
              <w:rPr>
                <w:rFonts w:hint="eastAsia" w:ascii="宋体" w:hAnsi="宋体" w:eastAsia="宋体" w:cs="宋体"/>
                <w:i w:val="0"/>
                <w:iCs w:val="0"/>
                <w:color w:val="000000"/>
                <w:sz w:val="18"/>
                <w:szCs w:val="18"/>
                <w:u w:val="none"/>
              </w:rPr>
            </w:pPr>
          </w:p>
        </w:tc>
      </w:tr>
      <w:tr w14:paraId="538FE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50F5D656">
            <w:pPr>
              <w:jc w:val="center"/>
              <w:rPr>
                <w:rFonts w:hint="eastAsia" w:ascii="宋体" w:hAnsi="宋体" w:eastAsia="宋体" w:cs="宋体"/>
                <w:i w:val="0"/>
                <w:iCs w:val="0"/>
                <w:color w:val="000000"/>
                <w:sz w:val="18"/>
                <w:szCs w:val="18"/>
                <w:u w:val="none"/>
              </w:rPr>
            </w:pPr>
          </w:p>
        </w:tc>
        <w:tc>
          <w:tcPr>
            <w:tcW w:w="372" w:type="pct"/>
            <w:vMerge w:val="continue"/>
            <w:tcBorders>
              <w:top w:val="single" w:color="000000" w:sz="4" w:space="0"/>
              <w:left w:val="single" w:color="000000" w:sz="4" w:space="0"/>
              <w:bottom w:val="nil"/>
              <w:right w:val="single" w:color="000000" w:sz="4" w:space="0"/>
            </w:tcBorders>
            <w:shd w:val="clear" w:color="auto" w:fill="auto"/>
            <w:vAlign w:val="center"/>
          </w:tcPr>
          <w:p w14:paraId="54FCFCC4">
            <w:pPr>
              <w:jc w:val="center"/>
              <w:rPr>
                <w:rFonts w:hint="eastAsia" w:ascii="宋体" w:hAnsi="宋体" w:eastAsia="宋体" w:cs="宋体"/>
                <w:i w:val="0"/>
                <w:iCs w:val="0"/>
                <w:color w:val="000000"/>
                <w:sz w:val="18"/>
                <w:szCs w:val="18"/>
                <w:u w:val="none"/>
              </w:rPr>
            </w:pPr>
          </w:p>
        </w:tc>
        <w:tc>
          <w:tcPr>
            <w:tcW w:w="486" w:type="pct"/>
            <w:tcBorders>
              <w:top w:val="single" w:color="000000" w:sz="4" w:space="0"/>
              <w:left w:val="single" w:color="000000" w:sz="4" w:space="0"/>
              <w:bottom w:val="nil"/>
              <w:right w:val="single" w:color="000000" w:sz="4" w:space="0"/>
            </w:tcBorders>
            <w:shd w:val="clear" w:color="auto" w:fill="auto"/>
            <w:vAlign w:val="center"/>
          </w:tcPr>
          <w:p w14:paraId="4BBE9D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2D5A34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提升群众幸福感</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62AF56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5D23927">
            <w:pPr>
              <w:jc w:val="center"/>
              <w:rPr>
                <w:rFonts w:hint="eastAsia" w:ascii="宋体" w:hAnsi="宋体" w:eastAsia="宋体" w:cs="宋体"/>
                <w:i w:val="0"/>
                <w:iCs w:val="0"/>
                <w:color w:val="000000"/>
                <w:sz w:val="18"/>
                <w:szCs w:val="18"/>
                <w:u w:val="none"/>
              </w:rPr>
            </w:pPr>
          </w:p>
        </w:tc>
        <w:tc>
          <w:tcPr>
            <w:tcW w:w="437" w:type="pct"/>
            <w:tcBorders>
              <w:top w:val="single" w:color="000000" w:sz="4" w:space="0"/>
              <w:left w:val="single" w:color="000000" w:sz="4" w:space="0"/>
              <w:bottom w:val="nil"/>
              <w:right w:val="single" w:color="000000" w:sz="4" w:space="0"/>
            </w:tcBorders>
            <w:shd w:val="clear" w:color="auto" w:fill="auto"/>
            <w:vAlign w:val="center"/>
          </w:tcPr>
          <w:p w14:paraId="628A52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237C7C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7D181491">
            <w:pPr>
              <w:jc w:val="center"/>
              <w:rPr>
                <w:rFonts w:hint="eastAsia" w:ascii="宋体" w:hAnsi="宋体" w:eastAsia="宋体" w:cs="宋体"/>
                <w:i w:val="0"/>
                <w:iCs w:val="0"/>
                <w:color w:val="000000"/>
                <w:sz w:val="18"/>
                <w:szCs w:val="18"/>
                <w:u w:val="none"/>
              </w:rPr>
            </w:pPr>
          </w:p>
        </w:tc>
        <w:tc>
          <w:tcPr>
            <w:tcW w:w="355" w:type="pct"/>
            <w:tcBorders>
              <w:top w:val="single" w:color="000000" w:sz="4" w:space="0"/>
              <w:left w:val="single" w:color="000000" w:sz="4" w:space="0"/>
              <w:bottom w:val="nil"/>
              <w:right w:val="single" w:color="000000" w:sz="4" w:space="0"/>
            </w:tcBorders>
            <w:shd w:val="clear" w:color="auto" w:fill="auto"/>
            <w:vAlign w:val="center"/>
          </w:tcPr>
          <w:p w14:paraId="77261B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55C312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081CDBA0">
            <w:pPr>
              <w:jc w:val="center"/>
              <w:rPr>
                <w:rFonts w:hint="eastAsia" w:ascii="宋体" w:hAnsi="宋体" w:eastAsia="宋体" w:cs="宋体"/>
                <w:i w:val="0"/>
                <w:iCs w:val="0"/>
                <w:color w:val="000000"/>
                <w:sz w:val="18"/>
                <w:szCs w:val="18"/>
                <w:u w:val="none"/>
              </w:rPr>
            </w:pPr>
          </w:p>
        </w:tc>
      </w:tr>
      <w:tr w14:paraId="48EC0C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66" w:type="pct"/>
            <w:vMerge w:val="continue"/>
            <w:tcBorders>
              <w:top w:val="single" w:color="000000" w:sz="4" w:space="0"/>
              <w:left w:val="single" w:color="000000" w:sz="4" w:space="0"/>
              <w:bottom w:val="nil"/>
              <w:right w:val="single" w:color="000000" w:sz="4" w:space="0"/>
            </w:tcBorders>
            <w:shd w:val="clear" w:color="auto" w:fill="auto"/>
            <w:vAlign w:val="center"/>
          </w:tcPr>
          <w:p w14:paraId="2B68FA14">
            <w:pPr>
              <w:jc w:val="center"/>
              <w:rPr>
                <w:rFonts w:hint="eastAsia" w:ascii="宋体" w:hAnsi="宋体" w:eastAsia="宋体" w:cs="宋体"/>
                <w:i w:val="0"/>
                <w:iCs w:val="0"/>
                <w:color w:val="000000"/>
                <w:sz w:val="18"/>
                <w:szCs w:val="18"/>
                <w:u w:val="none"/>
              </w:rPr>
            </w:pP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F6388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86" w:type="pct"/>
            <w:tcBorders>
              <w:top w:val="single" w:color="000000" w:sz="4" w:space="0"/>
              <w:left w:val="single" w:color="000000" w:sz="4" w:space="0"/>
              <w:bottom w:val="nil"/>
              <w:right w:val="single" w:color="000000" w:sz="4" w:space="0"/>
            </w:tcBorders>
            <w:shd w:val="clear" w:color="auto" w:fill="auto"/>
            <w:vAlign w:val="center"/>
          </w:tcPr>
          <w:p w14:paraId="1C370C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65" w:type="pct"/>
            <w:tcBorders>
              <w:top w:val="single" w:color="000000" w:sz="4" w:space="0"/>
              <w:left w:val="single" w:color="000000" w:sz="4" w:space="0"/>
              <w:bottom w:val="nil"/>
              <w:right w:val="single" w:color="000000" w:sz="4" w:space="0"/>
            </w:tcBorders>
            <w:shd w:val="clear" w:color="auto" w:fill="auto"/>
            <w:vAlign w:val="center"/>
          </w:tcPr>
          <w:p w14:paraId="796F4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群众满意度</w:t>
            </w:r>
          </w:p>
        </w:tc>
        <w:tc>
          <w:tcPr>
            <w:tcW w:w="322" w:type="pct"/>
            <w:tcBorders>
              <w:top w:val="single" w:color="000000" w:sz="4" w:space="0"/>
              <w:left w:val="single" w:color="000000" w:sz="4" w:space="0"/>
              <w:bottom w:val="nil"/>
              <w:right w:val="single" w:color="000000" w:sz="4" w:space="0"/>
            </w:tcBorders>
            <w:shd w:val="clear" w:color="auto" w:fill="auto"/>
            <w:vAlign w:val="center"/>
          </w:tcPr>
          <w:p w14:paraId="72043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5D63C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37" w:type="pct"/>
            <w:tcBorders>
              <w:top w:val="single" w:color="000000" w:sz="4" w:space="0"/>
              <w:left w:val="single" w:color="000000" w:sz="4" w:space="0"/>
              <w:bottom w:val="nil"/>
              <w:right w:val="single" w:color="000000" w:sz="4" w:space="0"/>
            </w:tcBorders>
            <w:shd w:val="clear" w:color="auto" w:fill="auto"/>
            <w:vAlign w:val="center"/>
          </w:tcPr>
          <w:p w14:paraId="4F2F7C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48" w:type="pct"/>
            <w:tcBorders>
              <w:top w:val="single" w:color="000000" w:sz="4" w:space="0"/>
              <w:left w:val="single" w:color="000000" w:sz="4" w:space="0"/>
              <w:bottom w:val="nil"/>
              <w:right w:val="single" w:color="000000" w:sz="4" w:space="0"/>
            </w:tcBorders>
            <w:shd w:val="clear" w:color="auto" w:fill="auto"/>
            <w:vAlign w:val="center"/>
          </w:tcPr>
          <w:p w14:paraId="6A387E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399" w:type="pct"/>
            <w:tcBorders>
              <w:top w:val="single" w:color="000000" w:sz="4" w:space="0"/>
              <w:left w:val="single" w:color="000000" w:sz="4" w:space="0"/>
              <w:bottom w:val="nil"/>
              <w:right w:val="single" w:color="000000" w:sz="4" w:space="0"/>
            </w:tcBorders>
            <w:shd w:val="clear" w:color="auto" w:fill="auto"/>
            <w:vAlign w:val="center"/>
          </w:tcPr>
          <w:p w14:paraId="1AB1AED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55" w:type="pct"/>
            <w:tcBorders>
              <w:top w:val="single" w:color="000000" w:sz="4" w:space="0"/>
              <w:left w:val="single" w:color="000000" w:sz="4" w:space="0"/>
              <w:bottom w:val="nil"/>
              <w:right w:val="single" w:color="000000" w:sz="4" w:space="0"/>
            </w:tcBorders>
            <w:shd w:val="clear" w:color="auto" w:fill="auto"/>
            <w:vAlign w:val="center"/>
          </w:tcPr>
          <w:p w14:paraId="7E9AFC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16" w:type="pct"/>
            <w:tcBorders>
              <w:top w:val="single" w:color="000000" w:sz="4" w:space="0"/>
              <w:left w:val="single" w:color="000000" w:sz="4" w:space="0"/>
              <w:bottom w:val="nil"/>
              <w:right w:val="single" w:color="000000" w:sz="4" w:space="0"/>
            </w:tcBorders>
            <w:shd w:val="clear" w:color="auto" w:fill="auto"/>
            <w:vAlign w:val="center"/>
          </w:tcPr>
          <w:p w14:paraId="473A76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557" w:type="pct"/>
            <w:tcBorders>
              <w:top w:val="single" w:color="000000" w:sz="4" w:space="0"/>
              <w:left w:val="single" w:color="000000" w:sz="4" w:space="0"/>
              <w:bottom w:val="nil"/>
              <w:right w:val="single" w:color="000000" w:sz="4" w:space="0"/>
            </w:tcBorders>
            <w:shd w:val="clear" w:color="auto" w:fill="auto"/>
            <w:vAlign w:val="center"/>
          </w:tcPr>
          <w:p w14:paraId="7D1F4D7A">
            <w:pPr>
              <w:jc w:val="center"/>
              <w:rPr>
                <w:rFonts w:hint="eastAsia" w:ascii="宋体" w:hAnsi="宋体" w:eastAsia="宋体" w:cs="宋体"/>
                <w:i w:val="0"/>
                <w:iCs w:val="0"/>
                <w:color w:val="000000"/>
                <w:sz w:val="18"/>
                <w:szCs w:val="18"/>
                <w:u w:val="none"/>
              </w:rPr>
            </w:pPr>
          </w:p>
        </w:tc>
      </w:tr>
      <w:tr w14:paraId="682FB5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770"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2E121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35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14C1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58E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5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D96C6">
            <w:pPr>
              <w:jc w:val="center"/>
              <w:rPr>
                <w:rFonts w:hint="eastAsia" w:ascii="宋体" w:hAnsi="宋体" w:eastAsia="宋体" w:cs="宋体"/>
                <w:i w:val="0"/>
                <w:iCs w:val="0"/>
                <w:color w:val="000000"/>
                <w:sz w:val="18"/>
                <w:szCs w:val="18"/>
                <w:u w:val="none"/>
              </w:rPr>
            </w:pPr>
          </w:p>
        </w:tc>
      </w:tr>
    </w:tbl>
    <w:p w14:paraId="62210229">
      <w:pPr>
        <w:widowControl/>
        <w:spacing w:before="240" w:after="240"/>
        <w:ind w:firstLine="540" w:firstLineChars="200"/>
        <w:jc w:val="left"/>
        <w:rPr>
          <w:rFonts w:hint="default" w:ascii="Times New Roman" w:hAnsi="Times New Roman" w:eastAsia="kai_ti_gb2312" w:cs="Times New Roman"/>
          <w:b/>
          <w:bCs/>
          <w:kern w:val="0"/>
          <w:sz w:val="27"/>
          <w:szCs w:val="27"/>
          <w:u w:val="none" w:color="auto"/>
        </w:rPr>
      </w:pP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20"/>
        <w:gridCol w:w="591"/>
        <w:gridCol w:w="806"/>
        <w:gridCol w:w="1328"/>
        <w:gridCol w:w="910"/>
        <w:gridCol w:w="852"/>
        <w:gridCol w:w="938"/>
        <w:gridCol w:w="988"/>
        <w:gridCol w:w="892"/>
        <w:gridCol w:w="613"/>
        <w:gridCol w:w="666"/>
        <w:gridCol w:w="952"/>
      </w:tblGrid>
      <w:tr w14:paraId="1E7899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21A8D0A9">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14:paraId="5E80E9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4CDC5B6">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487"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63E8C1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鄂尔多斯市检验检查互认平台项目2024年财政补助资金</w:t>
            </w:r>
          </w:p>
        </w:tc>
      </w:tr>
      <w:tr w14:paraId="6E552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1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4F94B70">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965"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048B7E3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鄂尔多斯市卫生健康委员会（鄂尔多斯市中医药管理局）（部门）</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684A4E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55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6CAB38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w:t>
            </w:r>
          </w:p>
        </w:tc>
      </w:tr>
      <w:tr w14:paraId="049047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51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8BC5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91579D">
            <w:pPr>
              <w:rPr>
                <w:rFonts w:hint="eastAsia" w:ascii="宋体" w:hAnsi="宋体" w:eastAsia="宋体" w:cs="宋体"/>
                <w:i w:val="0"/>
                <w:iCs w:val="0"/>
                <w:color w:val="000000"/>
                <w:sz w:val="18"/>
                <w:szCs w:val="18"/>
                <w:u w:val="none"/>
              </w:rPr>
            </w:pP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D31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0BA9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E9CE8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32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E919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17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14C5D0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99C490">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6F5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FD715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13496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694.46</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C054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609.5</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D48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8D8F0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87.77</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9CC1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8.78</w:t>
            </w:r>
          </w:p>
        </w:tc>
      </w:tr>
      <w:tr w14:paraId="134BC0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CBAB15">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85E1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E914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CE285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694.46</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742B1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609.5</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E22714">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79F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87.77</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145C8E">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37BD76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B9F9CD">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F9A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F9789">
            <w:pPr>
              <w:rPr>
                <w:rFonts w:hint="eastAsia" w:ascii="宋体" w:hAnsi="宋体" w:eastAsia="宋体" w:cs="宋体"/>
                <w:i w:val="0"/>
                <w:iCs w:val="0"/>
                <w:color w:val="000000"/>
                <w:sz w:val="18"/>
                <w:szCs w:val="18"/>
                <w:u w:val="none"/>
              </w:rPr>
            </w:pP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A14D983">
            <w:pPr>
              <w:jc w:val="center"/>
              <w:rPr>
                <w:rFonts w:hint="eastAsia" w:ascii="宋体" w:hAnsi="宋体" w:eastAsia="宋体" w:cs="宋体"/>
                <w:i w:val="0"/>
                <w:iCs w:val="0"/>
                <w:color w:val="000000"/>
                <w:sz w:val="18"/>
                <w:szCs w:val="18"/>
                <w:u w:val="none"/>
              </w:rPr>
            </w:pP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EA65960">
            <w:pPr>
              <w:jc w:val="center"/>
              <w:rPr>
                <w:rFonts w:hint="eastAsia" w:ascii="宋体" w:hAnsi="宋体" w:eastAsia="宋体" w:cs="宋体"/>
                <w:i w:val="0"/>
                <w:iCs w:val="0"/>
                <w:color w:val="000000"/>
                <w:sz w:val="18"/>
                <w:szCs w:val="18"/>
                <w:u w:val="none"/>
              </w:rPr>
            </w:pP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8CBBB">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355F92F">
            <w:pPr>
              <w:jc w:val="center"/>
              <w:rPr>
                <w:rFonts w:hint="eastAsia" w:ascii="宋体" w:hAnsi="宋体" w:eastAsia="宋体" w:cs="宋体"/>
                <w:i w:val="0"/>
                <w:iCs w:val="0"/>
                <w:color w:val="000000"/>
                <w:sz w:val="18"/>
                <w:szCs w:val="18"/>
                <w:u w:val="none"/>
              </w:rPr>
            </w:pP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2E44CDB">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D969A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7F7242">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3C6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5193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5D6A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97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3EA7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4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DD8B01D">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2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380952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81"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64639E">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10D33C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512"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5313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43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17B58C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4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F80F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0293C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20" w:hRule="atLeast"/>
        </w:trPr>
        <w:tc>
          <w:tcPr>
            <w:tcW w:w="512"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730ABD6">
            <w:pPr>
              <w:jc w:val="center"/>
              <w:rPr>
                <w:rFonts w:hint="eastAsia" w:ascii="宋体" w:hAnsi="宋体" w:eastAsia="宋体" w:cs="宋体"/>
                <w:i w:val="0"/>
                <w:iCs w:val="0"/>
                <w:color w:val="000000"/>
                <w:sz w:val="18"/>
                <w:szCs w:val="18"/>
                <w:u w:val="none"/>
              </w:rPr>
            </w:pPr>
          </w:p>
        </w:tc>
        <w:tc>
          <w:tcPr>
            <w:tcW w:w="2438"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AEC0D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鄂尔多斯市检查检验结果互认平台，通过整合全市检查检验数据资源，推进检查检验数据互联互通和结果互认共享，实现全市二级及以上医疗机构检查检验结果互认。</w:t>
            </w:r>
          </w:p>
        </w:tc>
        <w:tc>
          <w:tcPr>
            <w:tcW w:w="204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D33A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建设鄂尔多斯市检验检查结果互认平台，目前平台已初步建成。</w:t>
            </w:r>
          </w:p>
        </w:tc>
      </w:tr>
      <w:tr w14:paraId="6F597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CD1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4E0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0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8526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66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EB8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079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2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F3E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47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AD3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9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4D4F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BAF93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7B8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0C4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14B8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2C9F3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3" w:type="pct"/>
            <w:vMerge w:val="restart"/>
            <w:tcBorders>
              <w:top w:val="single" w:color="000000" w:sz="4" w:space="0"/>
              <w:left w:val="single" w:color="000000" w:sz="4" w:space="0"/>
              <w:bottom w:val="nil"/>
              <w:right w:val="single" w:color="000000" w:sz="4" w:space="0"/>
            </w:tcBorders>
            <w:shd w:val="clear" w:color="auto" w:fill="auto"/>
            <w:vAlign w:val="center"/>
          </w:tcPr>
          <w:p w14:paraId="0B9660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98" w:type="pct"/>
            <w:vMerge w:val="restart"/>
            <w:tcBorders>
              <w:top w:val="single" w:color="000000" w:sz="4" w:space="0"/>
              <w:left w:val="single" w:color="000000" w:sz="4" w:space="0"/>
              <w:bottom w:val="nil"/>
              <w:right w:val="single" w:color="000000" w:sz="4" w:space="0"/>
            </w:tcBorders>
            <w:shd w:val="clear" w:color="auto" w:fill="auto"/>
            <w:vAlign w:val="center"/>
          </w:tcPr>
          <w:p w14:paraId="035D29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07" w:type="pct"/>
            <w:vMerge w:val="restart"/>
            <w:tcBorders>
              <w:top w:val="single" w:color="000000" w:sz="4" w:space="0"/>
              <w:left w:val="single" w:color="000000" w:sz="4" w:space="0"/>
              <w:bottom w:val="nil"/>
              <w:right w:val="single" w:color="000000" w:sz="4" w:space="0"/>
            </w:tcBorders>
            <w:shd w:val="clear" w:color="auto" w:fill="auto"/>
            <w:vAlign w:val="center"/>
          </w:tcPr>
          <w:p w14:paraId="5BF762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1D4EAB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平台覆盖旗区数</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057CA8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43F52A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31F78C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41E86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545F7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个</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577E6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33AE43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3AFDE79F">
            <w:pPr>
              <w:jc w:val="center"/>
              <w:rPr>
                <w:rFonts w:hint="eastAsia" w:ascii="宋体" w:hAnsi="宋体" w:eastAsia="宋体" w:cs="宋体"/>
                <w:i w:val="0"/>
                <w:iCs w:val="0"/>
                <w:color w:val="000000"/>
                <w:sz w:val="18"/>
                <w:szCs w:val="18"/>
                <w:u w:val="none"/>
              </w:rPr>
            </w:pPr>
          </w:p>
        </w:tc>
      </w:tr>
      <w:tr w14:paraId="2B48085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4375C3DC">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181D8754">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nil"/>
              <w:right w:val="single" w:color="000000" w:sz="4" w:space="0"/>
            </w:tcBorders>
            <w:shd w:val="clear" w:color="auto" w:fill="auto"/>
            <w:vAlign w:val="center"/>
          </w:tcPr>
          <w:p w14:paraId="28DE1163">
            <w:pPr>
              <w:jc w:val="center"/>
              <w:rPr>
                <w:rFonts w:hint="eastAsia" w:ascii="宋体" w:hAnsi="宋体" w:eastAsia="宋体" w:cs="宋体"/>
                <w:i w:val="0"/>
                <w:iCs w:val="0"/>
                <w:color w:val="000000"/>
                <w:sz w:val="18"/>
                <w:szCs w:val="18"/>
                <w:u w:val="none"/>
              </w:rPr>
            </w:pPr>
          </w:p>
        </w:tc>
        <w:tc>
          <w:tcPr>
            <w:tcW w:w="669" w:type="pct"/>
            <w:tcBorders>
              <w:top w:val="single" w:color="000000" w:sz="4" w:space="0"/>
              <w:left w:val="single" w:color="000000" w:sz="4" w:space="0"/>
              <w:bottom w:val="nil"/>
              <w:right w:val="single" w:color="000000" w:sz="4" w:space="0"/>
            </w:tcBorders>
            <w:shd w:val="clear" w:color="auto" w:fill="auto"/>
            <w:vAlign w:val="center"/>
          </w:tcPr>
          <w:p w14:paraId="4B65CE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平台覆盖机构数</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174335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32D7C5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2583C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1A5753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33.00</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6CE6DA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家</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600113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400DD7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61269780">
            <w:pPr>
              <w:jc w:val="center"/>
              <w:rPr>
                <w:rFonts w:hint="eastAsia" w:ascii="宋体" w:hAnsi="宋体" w:eastAsia="宋体" w:cs="宋体"/>
                <w:i w:val="0"/>
                <w:iCs w:val="0"/>
                <w:color w:val="000000"/>
                <w:sz w:val="18"/>
                <w:szCs w:val="18"/>
                <w:u w:val="none"/>
              </w:rPr>
            </w:pPr>
          </w:p>
        </w:tc>
      </w:tr>
      <w:tr w14:paraId="739062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26EA6305">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55E1EF97">
            <w:pPr>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nil"/>
              <w:right w:val="single" w:color="000000" w:sz="4" w:space="0"/>
            </w:tcBorders>
            <w:shd w:val="clear" w:color="auto" w:fill="auto"/>
            <w:vAlign w:val="center"/>
          </w:tcPr>
          <w:p w14:paraId="7FEC7D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178BF9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资金兑付率</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5E0D2E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04AB65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123CB8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2DF9CF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87.77</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5ECB3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36C5B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07FD33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6EFFBFA3">
            <w:pPr>
              <w:jc w:val="center"/>
              <w:rPr>
                <w:rFonts w:hint="eastAsia" w:ascii="宋体" w:hAnsi="宋体" w:eastAsia="宋体" w:cs="宋体"/>
                <w:i w:val="0"/>
                <w:iCs w:val="0"/>
                <w:color w:val="000000"/>
                <w:sz w:val="18"/>
                <w:szCs w:val="18"/>
                <w:u w:val="none"/>
              </w:rPr>
            </w:pPr>
          </w:p>
        </w:tc>
      </w:tr>
      <w:tr w14:paraId="08095D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6BA467A6">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4204DA31">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nil"/>
              <w:right w:val="single" w:color="000000" w:sz="4" w:space="0"/>
            </w:tcBorders>
            <w:shd w:val="clear" w:color="auto" w:fill="auto"/>
            <w:vAlign w:val="center"/>
          </w:tcPr>
          <w:p w14:paraId="483A90D8">
            <w:pPr>
              <w:jc w:val="center"/>
              <w:rPr>
                <w:rFonts w:hint="eastAsia" w:ascii="宋体" w:hAnsi="宋体" w:eastAsia="宋体" w:cs="宋体"/>
                <w:i w:val="0"/>
                <w:iCs w:val="0"/>
                <w:color w:val="000000"/>
                <w:sz w:val="18"/>
                <w:szCs w:val="18"/>
                <w:u w:val="none"/>
              </w:rPr>
            </w:pPr>
          </w:p>
        </w:tc>
        <w:tc>
          <w:tcPr>
            <w:tcW w:w="669" w:type="pct"/>
            <w:tcBorders>
              <w:top w:val="single" w:color="000000" w:sz="4" w:space="0"/>
              <w:left w:val="single" w:color="000000" w:sz="4" w:space="0"/>
              <w:bottom w:val="nil"/>
              <w:right w:val="single" w:color="000000" w:sz="4" w:space="0"/>
            </w:tcBorders>
            <w:shd w:val="clear" w:color="auto" w:fill="auto"/>
            <w:vAlign w:val="center"/>
          </w:tcPr>
          <w:p w14:paraId="4D6541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项目完成率</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3B34B9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1A2521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0A3D76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5315763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0A12C37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24B648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0DAAB0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143B850F">
            <w:pPr>
              <w:jc w:val="center"/>
              <w:rPr>
                <w:rFonts w:hint="eastAsia" w:ascii="宋体" w:hAnsi="宋体" w:eastAsia="宋体" w:cs="宋体"/>
                <w:i w:val="0"/>
                <w:iCs w:val="0"/>
                <w:color w:val="000000"/>
                <w:sz w:val="18"/>
                <w:szCs w:val="18"/>
                <w:u w:val="none"/>
              </w:rPr>
            </w:pPr>
          </w:p>
        </w:tc>
      </w:tr>
      <w:tr w14:paraId="214D8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10E46627">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01A12834">
            <w:pPr>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nil"/>
              <w:right w:val="single" w:color="000000" w:sz="4" w:space="0"/>
            </w:tcBorders>
            <w:shd w:val="clear" w:color="auto" w:fill="auto"/>
            <w:vAlign w:val="center"/>
          </w:tcPr>
          <w:p w14:paraId="3F12D4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578AA3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578E5F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4956E687">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nil"/>
              <w:right w:val="single" w:color="000000" w:sz="4" w:space="0"/>
            </w:tcBorders>
            <w:shd w:val="clear" w:color="auto" w:fill="auto"/>
            <w:vAlign w:val="center"/>
          </w:tcPr>
          <w:p w14:paraId="5372B6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507A6C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56E57BED">
            <w:pPr>
              <w:jc w:val="center"/>
              <w:rPr>
                <w:rFonts w:hint="eastAsia" w:ascii="宋体" w:hAnsi="宋体" w:eastAsia="宋体" w:cs="宋体"/>
                <w:i w:val="0"/>
                <w:iCs w:val="0"/>
                <w:color w:val="000000"/>
                <w:sz w:val="18"/>
                <w:szCs w:val="18"/>
                <w:u w:val="none"/>
              </w:rPr>
            </w:pPr>
          </w:p>
        </w:tc>
        <w:tc>
          <w:tcPr>
            <w:tcW w:w="310" w:type="pct"/>
            <w:tcBorders>
              <w:top w:val="single" w:color="000000" w:sz="4" w:space="0"/>
              <w:left w:val="single" w:color="000000" w:sz="4" w:space="0"/>
              <w:bottom w:val="nil"/>
              <w:right w:val="single" w:color="000000" w:sz="4" w:space="0"/>
            </w:tcBorders>
            <w:shd w:val="clear" w:color="auto" w:fill="auto"/>
            <w:vAlign w:val="center"/>
          </w:tcPr>
          <w:p w14:paraId="573030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6FB88A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45EE9A08">
            <w:pPr>
              <w:jc w:val="center"/>
              <w:rPr>
                <w:rFonts w:hint="eastAsia" w:ascii="宋体" w:hAnsi="宋体" w:eastAsia="宋体" w:cs="宋体"/>
                <w:i w:val="0"/>
                <w:iCs w:val="0"/>
                <w:color w:val="000000"/>
                <w:sz w:val="18"/>
                <w:szCs w:val="18"/>
                <w:u w:val="none"/>
              </w:rPr>
            </w:pPr>
          </w:p>
        </w:tc>
      </w:tr>
      <w:tr w14:paraId="645BEF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4B2E842C">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55CF300A">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nil"/>
              <w:right w:val="single" w:color="000000" w:sz="4" w:space="0"/>
            </w:tcBorders>
            <w:shd w:val="clear" w:color="auto" w:fill="auto"/>
            <w:vAlign w:val="center"/>
          </w:tcPr>
          <w:p w14:paraId="5466B9DE">
            <w:pPr>
              <w:jc w:val="center"/>
              <w:rPr>
                <w:rFonts w:hint="eastAsia" w:ascii="宋体" w:hAnsi="宋体" w:eastAsia="宋体" w:cs="宋体"/>
                <w:i w:val="0"/>
                <w:iCs w:val="0"/>
                <w:color w:val="000000"/>
                <w:sz w:val="18"/>
                <w:szCs w:val="18"/>
                <w:u w:val="none"/>
              </w:rPr>
            </w:pPr>
          </w:p>
        </w:tc>
        <w:tc>
          <w:tcPr>
            <w:tcW w:w="669" w:type="pct"/>
            <w:tcBorders>
              <w:top w:val="single" w:color="000000" w:sz="4" w:space="0"/>
              <w:left w:val="single" w:color="000000" w:sz="4" w:space="0"/>
              <w:bottom w:val="nil"/>
              <w:right w:val="single" w:color="000000" w:sz="4" w:space="0"/>
            </w:tcBorders>
            <w:shd w:val="clear" w:color="auto" w:fill="auto"/>
            <w:vAlign w:val="center"/>
          </w:tcPr>
          <w:p w14:paraId="0454B8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项目完成时限</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5A8B69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378FC375">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nil"/>
              <w:right w:val="single" w:color="000000" w:sz="4" w:space="0"/>
            </w:tcBorders>
            <w:shd w:val="clear" w:color="auto" w:fill="auto"/>
            <w:vAlign w:val="center"/>
          </w:tcPr>
          <w:p w14:paraId="330008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68AFB1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090ACBC2">
            <w:pPr>
              <w:jc w:val="center"/>
              <w:rPr>
                <w:rFonts w:hint="eastAsia" w:ascii="宋体" w:hAnsi="宋体" w:eastAsia="宋体" w:cs="宋体"/>
                <w:i w:val="0"/>
                <w:iCs w:val="0"/>
                <w:color w:val="000000"/>
                <w:sz w:val="18"/>
                <w:szCs w:val="18"/>
                <w:u w:val="none"/>
              </w:rPr>
            </w:pPr>
          </w:p>
        </w:tc>
        <w:tc>
          <w:tcPr>
            <w:tcW w:w="310" w:type="pct"/>
            <w:tcBorders>
              <w:top w:val="single" w:color="000000" w:sz="4" w:space="0"/>
              <w:left w:val="single" w:color="000000" w:sz="4" w:space="0"/>
              <w:bottom w:val="nil"/>
              <w:right w:val="single" w:color="000000" w:sz="4" w:space="0"/>
            </w:tcBorders>
            <w:shd w:val="clear" w:color="auto" w:fill="auto"/>
            <w:vAlign w:val="center"/>
          </w:tcPr>
          <w:p w14:paraId="7E47A3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CD2C3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2B55F0C5">
            <w:pPr>
              <w:jc w:val="center"/>
              <w:rPr>
                <w:rFonts w:hint="eastAsia" w:ascii="宋体" w:hAnsi="宋体" w:eastAsia="宋体" w:cs="宋体"/>
                <w:i w:val="0"/>
                <w:iCs w:val="0"/>
                <w:color w:val="000000"/>
                <w:sz w:val="18"/>
                <w:szCs w:val="18"/>
                <w:u w:val="none"/>
              </w:rPr>
            </w:pPr>
          </w:p>
        </w:tc>
      </w:tr>
      <w:tr w14:paraId="0136A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1A46F7BA">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17FDBFA3">
            <w:pPr>
              <w:jc w:val="center"/>
              <w:rPr>
                <w:rFonts w:hint="eastAsia" w:ascii="宋体" w:hAnsi="宋体" w:eastAsia="宋体" w:cs="宋体"/>
                <w:i w:val="0"/>
                <w:iCs w:val="0"/>
                <w:color w:val="000000"/>
                <w:sz w:val="18"/>
                <w:szCs w:val="18"/>
                <w:u w:val="none"/>
              </w:rPr>
            </w:pPr>
          </w:p>
        </w:tc>
        <w:tc>
          <w:tcPr>
            <w:tcW w:w="407" w:type="pct"/>
            <w:vMerge w:val="restart"/>
            <w:tcBorders>
              <w:top w:val="single" w:color="000000" w:sz="4" w:space="0"/>
              <w:left w:val="single" w:color="000000" w:sz="4" w:space="0"/>
              <w:bottom w:val="nil"/>
              <w:right w:val="single" w:color="000000" w:sz="4" w:space="0"/>
            </w:tcBorders>
            <w:shd w:val="clear" w:color="auto" w:fill="auto"/>
            <w:vAlign w:val="center"/>
          </w:tcPr>
          <w:p w14:paraId="7C8F41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48F565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本年度财政投入</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7A1444E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77A7C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22F890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07CD6B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600.00</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784082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2456FD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207AB7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071D69E4">
            <w:pPr>
              <w:jc w:val="center"/>
              <w:rPr>
                <w:rFonts w:hint="eastAsia" w:ascii="宋体" w:hAnsi="宋体" w:eastAsia="宋体" w:cs="宋体"/>
                <w:i w:val="0"/>
                <w:iCs w:val="0"/>
                <w:color w:val="000000"/>
                <w:sz w:val="18"/>
                <w:szCs w:val="18"/>
                <w:u w:val="none"/>
              </w:rPr>
            </w:pPr>
          </w:p>
        </w:tc>
      </w:tr>
      <w:tr w14:paraId="1B6579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2740CE1A">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33FA2BF4">
            <w:pPr>
              <w:jc w:val="center"/>
              <w:rPr>
                <w:rFonts w:hint="eastAsia" w:ascii="宋体" w:hAnsi="宋体" w:eastAsia="宋体" w:cs="宋体"/>
                <w:i w:val="0"/>
                <w:iCs w:val="0"/>
                <w:color w:val="000000"/>
                <w:sz w:val="18"/>
                <w:szCs w:val="18"/>
                <w:u w:val="none"/>
              </w:rPr>
            </w:pPr>
          </w:p>
        </w:tc>
        <w:tc>
          <w:tcPr>
            <w:tcW w:w="407" w:type="pct"/>
            <w:vMerge w:val="continue"/>
            <w:tcBorders>
              <w:top w:val="single" w:color="000000" w:sz="4" w:space="0"/>
              <w:left w:val="single" w:color="000000" w:sz="4" w:space="0"/>
              <w:bottom w:val="nil"/>
              <w:right w:val="single" w:color="000000" w:sz="4" w:space="0"/>
            </w:tcBorders>
            <w:shd w:val="clear" w:color="auto" w:fill="auto"/>
            <w:vAlign w:val="center"/>
          </w:tcPr>
          <w:p w14:paraId="6580E802">
            <w:pPr>
              <w:jc w:val="center"/>
              <w:rPr>
                <w:rFonts w:hint="eastAsia" w:ascii="宋体" w:hAnsi="宋体" w:eastAsia="宋体" w:cs="宋体"/>
                <w:i w:val="0"/>
                <w:iCs w:val="0"/>
                <w:color w:val="000000"/>
                <w:sz w:val="18"/>
                <w:szCs w:val="18"/>
                <w:u w:val="none"/>
              </w:rPr>
            </w:pPr>
          </w:p>
        </w:tc>
        <w:tc>
          <w:tcPr>
            <w:tcW w:w="669" w:type="pct"/>
            <w:tcBorders>
              <w:top w:val="single" w:color="000000" w:sz="4" w:space="0"/>
              <w:left w:val="single" w:color="000000" w:sz="4" w:space="0"/>
              <w:bottom w:val="nil"/>
              <w:right w:val="single" w:color="000000" w:sz="4" w:space="0"/>
            </w:tcBorders>
            <w:shd w:val="clear" w:color="auto" w:fill="auto"/>
            <w:vAlign w:val="center"/>
          </w:tcPr>
          <w:p w14:paraId="6D7F18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监理费</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194A1D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586A27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3154AF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112.96</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200CF7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9.50</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04477E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58E5B7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5E6C35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0.42</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483B25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部分项目运维费用需结转至下年度支出。</w:t>
            </w:r>
          </w:p>
        </w:tc>
      </w:tr>
      <w:tr w14:paraId="15DCD6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1EEFE935">
            <w:pPr>
              <w:jc w:val="center"/>
              <w:rPr>
                <w:rFonts w:hint="eastAsia" w:ascii="宋体" w:hAnsi="宋体" w:eastAsia="宋体" w:cs="宋体"/>
                <w:i w:val="0"/>
                <w:iCs w:val="0"/>
                <w:color w:val="000000"/>
                <w:sz w:val="18"/>
                <w:szCs w:val="18"/>
                <w:u w:val="none"/>
              </w:rPr>
            </w:pPr>
          </w:p>
        </w:tc>
        <w:tc>
          <w:tcPr>
            <w:tcW w:w="298" w:type="pct"/>
            <w:vMerge w:val="restart"/>
            <w:tcBorders>
              <w:top w:val="single" w:color="000000" w:sz="4" w:space="0"/>
              <w:left w:val="single" w:color="000000" w:sz="4" w:space="0"/>
              <w:bottom w:val="nil"/>
              <w:right w:val="single" w:color="000000" w:sz="4" w:space="0"/>
            </w:tcBorders>
            <w:shd w:val="clear" w:color="auto" w:fill="auto"/>
            <w:vAlign w:val="center"/>
          </w:tcPr>
          <w:p w14:paraId="3E50C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18AD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439B93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初步实现全市医学检验检查结果跨区域跨机构互认共享</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5CC2B9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25FB2877">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nil"/>
              <w:right w:val="single" w:color="000000" w:sz="4" w:space="0"/>
            </w:tcBorders>
            <w:shd w:val="clear" w:color="auto" w:fill="auto"/>
            <w:vAlign w:val="center"/>
          </w:tcPr>
          <w:p w14:paraId="14DAF6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初步实现</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5D66A3F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初步实现</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063BE755">
            <w:pPr>
              <w:jc w:val="center"/>
              <w:rPr>
                <w:rFonts w:hint="eastAsia" w:ascii="宋体" w:hAnsi="宋体" w:eastAsia="宋体" w:cs="宋体"/>
                <w:i w:val="0"/>
                <w:iCs w:val="0"/>
                <w:color w:val="000000"/>
                <w:sz w:val="18"/>
                <w:szCs w:val="18"/>
                <w:u w:val="none"/>
              </w:rPr>
            </w:pPr>
          </w:p>
        </w:tc>
        <w:tc>
          <w:tcPr>
            <w:tcW w:w="310" w:type="pct"/>
            <w:tcBorders>
              <w:top w:val="single" w:color="000000" w:sz="4" w:space="0"/>
              <w:left w:val="single" w:color="000000" w:sz="4" w:space="0"/>
              <w:bottom w:val="nil"/>
              <w:right w:val="single" w:color="000000" w:sz="4" w:space="0"/>
            </w:tcBorders>
            <w:shd w:val="clear" w:color="auto" w:fill="auto"/>
            <w:vAlign w:val="center"/>
          </w:tcPr>
          <w:p w14:paraId="0AEFCD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1D1F58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78930441">
            <w:pPr>
              <w:jc w:val="center"/>
              <w:rPr>
                <w:rFonts w:hint="eastAsia" w:ascii="宋体" w:hAnsi="宋体" w:eastAsia="宋体" w:cs="宋体"/>
                <w:i w:val="0"/>
                <w:iCs w:val="0"/>
                <w:color w:val="000000"/>
                <w:sz w:val="18"/>
                <w:szCs w:val="18"/>
                <w:u w:val="none"/>
              </w:rPr>
            </w:pPr>
          </w:p>
        </w:tc>
      </w:tr>
      <w:tr w14:paraId="6394F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7CB6A28C">
            <w:pPr>
              <w:jc w:val="center"/>
              <w:rPr>
                <w:rFonts w:hint="eastAsia" w:ascii="宋体" w:hAnsi="宋体" w:eastAsia="宋体" w:cs="宋体"/>
                <w:i w:val="0"/>
                <w:iCs w:val="0"/>
                <w:color w:val="000000"/>
                <w:sz w:val="18"/>
                <w:szCs w:val="18"/>
                <w:u w:val="none"/>
              </w:rPr>
            </w:pPr>
          </w:p>
        </w:tc>
        <w:tc>
          <w:tcPr>
            <w:tcW w:w="298" w:type="pct"/>
            <w:vMerge w:val="continue"/>
            <w:tcBorders>
              <w:top w:val="single" w:color="000000" w:sz="4" w:space="0"/>
              <w:left w:val="single" w:color="000000" w:sz="4" w:space="0"/>
              <w:bottom w:val="nil"/>
              <w:right w:val="single" w:color="000000" w:sz="4" w:space="0"/>
            </w:tcBorders>
            <w:shd w:val="clear" w:color="auto" w:fill="auto"/>
            <w:vAlign w:val="center"/>
          </w:tcPr>
          <w:p w14:paraId="65944B65">
            <w:pPr>
              <w:jc w:val="center"/>
              <w:rPr>
                <w:rFonts w:hint="eastAsia" w:ascii="宋体" w:hAnsi="宋体" w:eastAsia="宋体" w:cs="宋体"/>
                <w:i w:val="0"/>
                <w:iCs w:val="0"/>
                <w:color w:val="000000"/>
                <w:sz w:val="18"/>
                <w:szCs w:val="18"/>
                <w:u w:val="none"/>
              </w:rPr>
            </w:pPr>
          </w:p>
        </w:tc>
        <w:tc>
          <w:tcPr>
            <w:tcW w:w="407" w:type="pct"/>
            <w:tcBorders>
              <w:top w:val="single" w:color="000000" w:sz="4" w:space="0"/>
              <w:left w:val="single" w:color="000000" w:sz="4" w:space="0"/>
              <w:bottom w:val="nil"/>
              <w:right w:val="single" w:color="000000" w:sz="4" w:space="0"/>
            </w:tcBorders>
            <w:shd w:val="clear" w:color="auto" w:fill="auto"/>
            <w:vAlign w:val="center"/>
          </w:tcPr>
          <w:p w14:paraId="073D35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6489A1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提升我市医疗卫生服务水平</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0F2A0C7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58882AD7">
            <w:pPr>
              <w:jc w:val="center"/>
              <w:rPr>
                <w:rFonts w:hint="eastAsia" w:ascii="宋体" w:hAnsi="宋体" w:eastAsia="宋体" w:cs="宋体"/>
                <w:i w:val="0"/>
                <w:iCs w:val="0"/>
                <w:color w:val="000000"/>
                <w:sz w:val="18"/>
                <w:szCs w:val="18"/>
                <w:u w:val="none"/>
              </w:rPr>
            </w:pPr>
          </w:p>
        </w:tc>
        <w:tc>
          <w:tcPr>
            <w:tcW w:w="473" w:type="pct"/>
            <w:tcBorders>
              <w:top w:val="single" w:color="000000" w:sz="4" w:space="0"/>
              <w:left w:val="single" w:color="000000" w:sz="4" w:space="0"/>
              <w:bottom w:val="nil"/>
              <w:right w:val="single" w:color="000000" w:sz="4" w:space="0"/>
            </w:tcBorders>
            <w:shd w:val="clear" w:color="auto" w:fill="auto"/>
            <w:vAlign w:val="center"/>
          </w:tcPr>
          <w:p w14:paraId="7C732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1F6E7E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提升</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7531E3E8">
            <w:pPr>
              <w:jc w:val="center"/>
              <w:rPr>
                <w:rFonts w:hint="eastAsia" w:ascii="宋体" w:hAnsi="宋体" w:eastAsia="宋体" w:cs="宋体"/>
                <w:i w:val="0"/>
                <w:iCs w:val="0"/>
                <w:color w:val="000000"/>
                <w:sz w:val="18"/>
                <w:szCs w:val="18"/>
                <w:u w:val="none"/>
              </w:rPr>
            </w:pPr>
          </w:p>
        </w:tc>
        <w:tc>
          <w:tcPr>
            <w:tcW w:w="310" w:type="pct"/>
            <w:tcBorders>
              <w:top w:val="single" w:color="000000" w:sz="4" w:space="0"/>
              <w:left w:val="single" w:color="000000" w:sz="4" w:space="0"/>
              <w:bottom w:val="nil"/>
              <w:right w:val="single" w:color="000000" w:sz="4" w:space="0"/>
            </w:tcBorders>
            <w:shd w:val="clear" w:color="auto" w:fill="auto"/>
            <w:vAlign w:val="center"/>
          </w:tcPr>
          <w:p w14:paraId="53A332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7E9BA58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14695E83">
            <w:pPr>
              <w:jc w:val="center"/>
              <w:rPr>
                <w:rFonts w:hint="eastAsia" w:ascii="宋体" w:hAnsi="宋体" w:eastAsia="宋体" w:cs="宋体"/>
                <w:i w:val="0"/>
                <w:iCs w:val="0"/>
                <w:color w:val="000000"/>
                <w:sz w:val="18"/>
                <w:szCs w:val="18"/>
                <w:u w:val="none"/>
              </w:rPr>
            </w:pPr>
          </w:p>
        </w:tc>
      </w:tr>
      <w:tr w14:paraId="01A76D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3" w:type="pct"/>
            <w:vMerge w:val="continue"/>
            <w:tcBorders>
              <w:top w:val="single" w:color="000000" w:sz="4" w:space="0"/>
              <w:left w:val="single" w:color="000000" w:sz="4" w:space="0"/>
              <w:bottom w:val="nil"/>
              <w:right w:val="single" w:color="000000" w:sz="4" w:space="0"/>
            </w:tcBorders>
            <w:shd w:val="clear" w:color="auto" w:fill="auto"/>
            <w:vAlign w:val="center"/>
          </w:tcPr>
          <w:p w14:paraId="387D0086">
            <w:pPr>
              <w:jc w:val="center"/>
              <w:rPr>
                <w:rFonts w:hint="eastAsia" w:ascii="宋体" w:hAnsi="宋体" w:eastAsia="宋体" w:cs="宋体"/>
                <w:i w:val="0"/>
                <w:iCs w:val="0"/>
                <w:color w:val="000000"/>
                <w:sz w:val="18"/>
                <w:szCs w:val="18"/>
                <w:u w:val="none"/>
              </w:rPr>
            </w:pPr>
          </w:p>
        </w:tc>
        <w:tc>
          <w:tcPr>
            <w:tcW w:w="298" w:type="pct"/>
            <w:tcBorders>
              <w:top w:val="single" w:color="000000" w:sz="4" w:space="0"/>
              <w:left w:val="single" w:color="000000" w:sz="4" w:space="0"/>
              <w:bottom w:val="nil"/>
              <w:right w:val="single" w:color="000000" w:sz="4" w:space="0"/>
            </w:tcBorders>
            <w:shd w:val="clear" w:color="auto" w:fill="auto"/>
            <w:vAlign w:val="center"/>
          </w:tcPr>
          <w:p w14:paraId="765D32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07" w:type="pct"/>
            <w:tcBorders>
              <w:top w:val="single" w:color="000000" w:sz="4" w:space="0"/>
              <w:left w:val="single" w:color="000000" w:sz="4" w:space="0"/>
              <w:bottom w:val="nil"/>
              <w:right w:val="single" w:color="000000" w:sz="4" w:space="0"/>
            </w:tcBorders>
            <w:shd w:val="clear" w:color="auto" w:fill="auto"/>
            <w:vAlign w:val="center"/>
          </w:tcPr>
          <w:p w14:paraId="6B43A9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669" w:type="pct"/>
            <w:tcBorders>
              <w:top w:val="single" w:color="000000" w:sz="4" w:space="0"/>
              <w:left w:val="single" w:color="000000" w:sz="4" w:space="0"/>
              <w:bottom w:val="nil"/>
              <w:right w:val="single" w:color="000000" w:sz="4" w:space="0"/>
            </w:tcBorders>
            <w:shd w:val="clear" w:color="auto" w:fill="auto"/>
            <w:vAlign w:val="center"/>
          </w:tcPr>
          <w:p w14:paraId="015FCD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医疗机构及患者满意度</w:t>
            </w:r>
          </w:p>
        </w:tc>
        <w:tc>
          <w:tcPr>
            <w:tcW w:w="459" w:type="pct"/>
            <w:tcBorders>
              <w:top w:val="single" w:color="000000" w:sz="4" w:space="0"/>
              <w:left w:val="single" w:color="000000" w:sz="4" w:space="0"/>
              <w:bottom w:val="nil"/>
              <w:right w:val="single" w:color="000000" w:sz="4" w:space="0"/>
            </w:tcBorders>
            <w:shd w:val="clear" w:color="auto" w:fill="auto"/>
            <w:vAlign w:val="center"/>
          </w:tcPr>
          <w:p w14:paraId="1D1792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28" w:type="pct"/>
            <w:tcBorders>
              <w:top w:val="single" w:color="000000" w:sz="4" w:space="0"/>
              <w:left w:val="single" w:color="000000" w:sz="4" w:space="0"/>
              <w:bottom w:val="nil"/>
              <w:right w:val="single" w:color="000000" w:sz="4" w:space="0"/>
            </w:tcBorders>
            <w:shd w:val="clear" w:color="auto" w:fill="auto"/>
            <w:vAlign w:val="center"/>
          </w:tcPr>
          <w:p w14:paraId="18EFF2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473" w:type="pct"/>
            <w:tcBorders>
              <w:top w:val="single" w:color="000000" w:sz="4" w:space="0"/>
              <w:left w:val="single" w:color="000000" w:sz="4" w:space="0"/>
              <w:bottom w:val="nil"/>
              <w:right w:val="single" w:color="000000" w:sz="4" w:space="0"/>
            </w:tcBorders>
            <w:shd w:val="clear" w:color="auto" w:fill="auto"/>
            <w:vAlign w:val="center"/>
          </w:tcPr>
          <w:p w14:paraId="2A9D52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98" w:type="pct"/>
            <w:tcBorders>
              <w:top w:val="single" w:color="000000" w:sz="4" w:space="0"/>
              <w:left w:val="single" w:color="000000" w:sz="4" w:space="0"/>
              <w:bottom w:val="nil"/>
              <w:right w:val="single" w:color="000000" w:sz="4" w:space="0"/>
            </w:tcBorders>
            <w:shd w:val="clear" w:color="auto" w:fill="auto"/>
            <w:vAlign w:val="center"/>
          </w:tcPr>
          <w:p w14:paraId="0F931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46" w:type="pct"/>
            <w:tcBorders>
              <w:top w:val="single" w:color="000000" w:sz="4" w:space="0"/>
              <w:left w:val="single" w:color="000000" w:sz="4" w:space="0"/>
              <w:bottom w:val="nil"/>
              <w:right w:val="single" w:color="000000" w:sz="4" w:space="0"/>
            </w:tcBorders>
            <w:shd w:val="clear" w:color="auto" w:fill="auto"/>
            <w:vAlign w:val="center"/>
          </w:tcPr>
          <w:p w14:paraId="78429B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10" w:type="pct"/>
            <w:tcBorders>
              <w:top w:val="single" w:color="000000" w:sz="4" w:space="0"/>
              <w:left w:val="single" w:color="000000" w:sz="4" w:space="0"/>
              <w:bottom w:val="nil"/>
              <w:right w:val="single" w:color="000000" w:sz="4" w:space="0"/>
            </w:tcBorders>
            <w:shd w:val="clear" w:color="auto" w:fill="auto"/>
            <w:vAlign w:val="center"/>
          </w:tcPr>
          <w:p w14:paraId="7F5477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11" w:type="pct"/>
            <w:tcBorders>
              <w:top w:val="single" w:color="000000" w:sz="4" w:space="0"/>
              <w:left w:val="single" w:color="000000" w:sz="4" w:space="0"/>
              <w:bottom w:val="nil"/>
              <w:right w:val="single" w:color="000000" w:sz="4" w:space="0"/>
            </w:tcBorders>
            <w:shd w:val="clear" w:color="auto" w:fill="auto"/>
            <w:vAlign w:val="center"/>
          </w:tcPr>
          <w:p w14:paraId="32A4C9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81" w:type="pct"/>
            <w:tcBorders>
              <w:top w:val="single" w:color="000000" w:sz="4" w:space="0"/>
              <w:left w:val="single" w:color="000000" w:sz="4" w:space="0"/>
              <w:bottom w:val="nil"/>
              <w:right w:val="single" w:color="000000" w:sz="4" w:space="0"/>
            </w:tcBorders>
            <w:shd w:val="clear" w:color="auto" w:fill="auto"/>
            <w:vAlign w:val="center"/>
          </w:tcPr>
          <w:p w14:paraId="37A743C3">
            <w:pPr>
              <w:jc w:val="center"/>
              <w:rPr>
                <w:rFonts w:hint="eastAsia" w:ascii="宋体" w:hAnsi="宋体" w:eastAsia="宋体" w:cs="宋体"/>
                <w:i w:val="0"/>
                <w:iCs w:val="0"/>
                <w:color w:val="000000"/>
                <w:sz w:val="18"/>
                <w:szCs w:val="18"/>
                <w:u w:val="none"/>
              </w:rPr>
            </w:pPr>
          </w:p>
        </w:tc>
      </w:tr>
      <w:tr w14:paraId="036A93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 w:hRule="atLeast"/>
        </w:trPr>
        <w:tc>
          <w:tcPr>
            <w:tcW w:w="3896"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07188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3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BB5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1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F4F9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94.20</w:t>
            </w:r>
          </w:p>
        </w:tc>
        <w:tc>
          <w:tcPr>
            <w:tcW w:w="48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1E8D7">
            <w:pPr>
              <w:jc w:val="center"/>
              <w:rPr>
                <w:rFonts w:hint="eastAsia" w:ascii="宋体" w:hAnsi="宋体" w:eastAsia="宋体" w:cs="宋体"/>
                <w:i w:val="0"/>
                <w:iCs w:val="0"/>
                <w:color w:val="000000"/>
                <w:sz w:val="18"/>
                <w:szCs w:val="18"/>
                <w:u w:val="none"/>
              </w:rPr>
            </w:pPr>
          </w:p>
        </w:tc>
      </w:tr>
    </w:tbl>
    <w:p w14:paraId="219B2166">
      <w:pPr>
        <w:widowControl/>
        <w:spacing w:before="240" w:after="240"/>
        <w:ind w:firstLine="540" w:firstLineChars="200"/>
        <w:jc w:val="left"/>
        <w:rPr>
          <w:rFonts w:hint="default" w:ascii="Times New Roman" w:hAnsi="Times New Roman" w:eastAsia="kai_ti_gb2312" w:cs="Times New Roman"/>
          <w:b/>
          <w:bCs/>
          <w:kern w:val="0"/>
          <w:sz w:val="27"/>
          <w:szCs w:val="27"/>
          <w:u w:val="none" w:color="auto"/>
        </w:rPr>
      </w:pP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85"/>
        <w:gridCol w:w="697"/>
        <w:gridCol w:w="934"/>
        <w:gridCol w:w="1154"/>
        <w:gridCol w:w="732"/>
        <w:gridCol w:w="847"/>
        <w:gridCol w:w="768"/>
        <w:gridCol w:w="936"/>
        <w:gridCol w:w="622"/>
        <w:gridCol w:w="652"/>
        <w:gridCol w:w="676"/>
        <w:gridCol w:w="1253"/>
      </w:tblGrid>
      <w:tr w14:paraId="0C3B00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0668B19A">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14:paraId="778AFF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12E497">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291"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101BF5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重大传染病防控经费</w:t>
            </w:r>
          </w:p>
        </w:tc>
      </w:tr>
      <w:tr w14:paraId="0C7715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F469B25">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868"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4522F01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鄂尔多斯市卫生健康委员会（鄂尔多斯市中医药管理局）（部门）</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2C505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633"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1BBF33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w:t>
            </w:r>
          </w:p>
        </w:tc>
      </w:tr>
      <w:tr w14:paraId="5129E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5F60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5513A6">
            <w:pP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B92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96EF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A58C2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838D9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71D2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8C6C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26DD51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01C28A">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BE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EABD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6C79E5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53E2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17.73</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3AB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940E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88.65</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E95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8.87</w:t>
            </w:r>
          </w:p>
        </w:tc>
      </w:tr>
      <w:tr w14:paraId="53AAB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B05681">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4B3D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137DB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8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FDAE4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BE919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17.73</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B44647">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D7CD1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88.65</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097051">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5CDA6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0BEF547">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011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2F48A3">
            <w:pPr>
              <w:rPr>
                <w:rFonts w:hint="eastAsia" w:ascii="宋体" w:hAnsi="宋体" w:eastAsia="宋体" w:cs="宋体"/>
                <w:i w:val="0"/>
                <w:iCs w:val="0"/>
                <w:color w:val="000000"/>
                <w:sz w:val="18"/>
                <w:szCs w:val="18"/>
                <w:u w:val="none"/>
              </w:rPr>
            </w:pPr>
          </w:p>
        </w:tc>
        <w:tc>
          <w:tcPr>
            <w:tcW w:w="8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4859A56">
            <w:pPr>
              <w:jc w:val="center"/>
              <w:rPr>
                <w:rFonts w:hint="eastAsia" w:ascii="宋体" w:hAnsi="宋体" w:eastAsia="宋体" w:cs="宋体"/>
                <w:i w:val="0"/>
                <w:iCs w:val="0"/>
                <w:color w:val="000000"/>
                <w:sz w:val="18"/>
                <w:szCs w:val="18"/>
                <w:u w:val="none"/>
              </w:rPr>
            </w:pP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5D9B3BB">
            <w:pPr>
              <w:jc w:val="center"/>
              <w:rPr>
                <w:rFonts w:hint="eastAsia" w:ascii="宋体" w:hAnsi="宋体" w:eastAsia="宋体" w:cs="宋体"/>
                <w:i w:val="0"/>
                <w:iCs w:val="0"/>
                <w:color w:val="000000"/>
                <w:sz w:val="18"/>
                <w:szCs w:val="18"/>
                <w:u w:val="none"/>
              </w:rPr>
            </w:pP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BBA0E9">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3A63B31">
            <w:pPr>
              <w:jc w:val="center"/>
              <w:rPr>
                <w:rFonts w:hint="eastAsia" w:ascii="宋体" w:hAnsi="宋体" w:eastAsia="宋体" w:cs="宋体"/>
                <w:i w:val="0"/>
                <w:iCs w:val="0"/>
                <w:color w:val="000000"/>
                <w:sz w:val="18"/>
                <w:szCs w:val="18"/>
                <w:u w:val="none"/>
              </w:rPr>
            </w:pP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AB573">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FCD97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7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C34066">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964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7E6E2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06"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8D614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6B69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1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E445F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80"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ED55B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3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9DF16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427B37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708"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51C02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26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ADB35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0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6024B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569B67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20" w:hRule="atLeast"/>
        </w:trPr>
        <w:tc>
          <w:tcPr>
            <w:tcW w:w="708"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29AC6A">
            <w:pPr>
              <w:jc w:val="center"/>
              <w:rPr>
                <w:rFonts w:hint="eastAsia" w:ascii="宋体" w:hAnsi="宋体" w:eastAsia="宋体" w:cs="宋体"/>
                <w:i w:val="0"/>
                <w:iCs w:val="0"/>
                <w:color w:val="000000"/>
                <w:sz w:val="18"/>
                <w:szCs w:val="18"/>
                <w:u w:val="none"/>
              </w:rPr>
            </w:pPr>
          </w:p>
        </w:tc>
        <w:tc>
          <w:tcPr>
            <w:tcW w:w="226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0B825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加强布病、结核病、艾滋病病等重大传染病的防治及公共卫生、社会心理服务体系建设和严重精神障碍管理等体系建设，开展多渠道宣传教育。</w:t>
            </w:r>
          </w:p>
        </w:tc>
        <w:tc>
          <w:tcPr>
            <w:tcW w:w="203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4DAA9A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持续提升传染病监测预警能力。持续提高传染病实验室检验检测能力。持续提升传染病应急处置和保障能力。持续加强重点传染病防控。持续强化疫苗预防接种。持续提升公共卫生干预能力。</w:t>
            </w:r>
          </w:p>
        </w:tc>
      </w:tr>
      <w:tr w14:paraId="09F0D9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35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B96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35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72A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4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B42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5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2E54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3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8B3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3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415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39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2960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39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7E9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31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C7B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DE80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E6EE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ABED0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06A460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0" w:hRule="atLeast"/>
        </w:trPr>
        <w:tc>
          <w:tcPr>
            <w:tcW w:w="351" w:type="pct"/>
            <w:vMerge w:val="restart"/>
            <w:tcBorders>
              <w:top w:val="single" w:color="000000" w:sz="4" w:space="0"/>
              <w:left w:val="single" w:color="000000" w:sz="4" w:space="0"/>
              <w:bottom w:val="nil"/>
              <w:right w:val="single" w:color="000000" w:sz="4" w:space="0"/>
            </w:tcBorders>
            <w:shd w:val="clear" w:color="auto" w:fill="auto"/>
            <w:vAlign w:val="center"/>
          </w:tcPr>
          <w:p w14:paraId="1ECFC2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357" w:type="pct"/>
            <w:vMerge w:val="restart"/>
            <w:tcBorders>
              <w:top w:val="single" w:color="000000" w:sz="4" w:space="0"/>
              <w:left w:val="single" w:color="000000" w:sz="4" w:space="0"/>
              <w:bottom w:val="nil"/>
              <w:right w:val="single" w:color="000000" w:sz="4" w:space="0"/>
            </w:tcBorders>
            <w:shd w:val="clear" w:color="auto" w:fill="auto"/>
            <w:vAlign w:val="center"/>
          </w:tcPr>
          <w:p w14:paraId="7C7A31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476" w:type="pct"/>
            <w:vMerge w:val="restart"/>
            <w:tcBorders>
              <w:top w:val="single" w:color="000000" w:sz="4" w:space="0"/>
              <w:left w:val="single" w:color="000000" w:sz="4" w:space="0"/>
              <w:bottom w:val="nil"/>
              <w:right w:val="single" w:color="000000" w:sz="4" w:space="0"/>
            </w:tcBorders>
            <w:shd w:val="clear" w:color="auto" w:fill="auto"/>
            <w:vAlign w:val="center"/>
          </w:tcPr>
          <w:p w14:paraId="5B6C44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3109FC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布病监测任务数</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8317C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33396BF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5B5EA79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7200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1AEB03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32191.00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632C96E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例</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49433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5C9B52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43CAE56A">
            <w:pPr>
              <w:jc w:val="center"/>
              <w:rPr>
                <w:rFonts w:hint="eastAsia" w:ascii="宋体" w:hAnsi="宋体" w:eastAsia="宋体" w:cs="宋体"/>
                <w:i w:val="0"/>
                <w:iCs w:val="0"/>
                <w:color w:val="000000"/>
                <w:sz w:val="18"/>
                <w:szCs w:val="18"/>
                <w:u w:val="none"/>
              </w:rPr>
            </w:pPr>
          </w:p>
        </w:tc>
      </w:tr>
      <w:tr w14:paraId="6B7B3F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11325D97">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16B72259">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0708752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95069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治疗结核病患者数</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C9D12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22C5F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286A19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580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50B31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456.00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74C3FA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10A00B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30FADD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2.36</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1F459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本年度登记患者人数减少，治疗人数相应减少。</w:t>
            </w:r>
          </w:p>
        </w:tc>
      </w:tr>
      <w:tr w14:paraId="2907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3E392CB">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6BA71DF7">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228E8234">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635A1AD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社会心理服务体系建设现场会次数</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E12089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58FBBF0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5F5BA3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0E2F6E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61F7C9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37623C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33FB6B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28BA4FF9">
            <w:pPr>
              <w:jc w:val="center"/>
              <w:rPr>
                <w:rFonts w:hint="eastAsia" w:ascii="宋体" w:hAnsi="宋体" w:eastAsia="宋体" w:cs="宋体"/>
                <w:i w:val="0"/>
                <w:iCs w:val="0"/>
                <w:color w:val="000000"/>
                <w:sz w:val="18"/>
                <w:szCs w:val="18"/>
                <w:u w:val="none"/>
              </w:rPr>
            </w:pPr>
          </w:p>
        </w:tc>
      </w:tr>
      <w:tr w14:paraId="7FBE0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341E611B">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46C49DF1">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2802E050">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2E51F4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耐多药结核病人筛查人数</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9044D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1FB42A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5CAE89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3D517F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283.00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192759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62AE3E8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6A7B4E9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38ADEF00">
            <w:pPr>
              <w:jc w:val="center"/>
              <w:rPr>
                <w:rFonts w:hint="eastAsia" w:ascii="宋体" w:hAnsi="宋体" w:eastAsia="宋体" w:cs="宋体"/>
                <w:i w:val="0"/>
                <w:iCs w:val="0"/>
                <w:color w:val="000000"/>
                <w:sz w:val="18"/>
                <w:szCs w:val="18"/>
                <w:u w:val="none"/>
              </w:rPr>
            </w:pPr>
          </w:p>
        </w:tc>
      </w:tr>
      <w:tr w14:paraId="2AB5F7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2C817AC8">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2F4930D9">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0E1B7E22">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56E21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艾滋病管理人数</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98BB6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6F391C6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505A39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6E0F8BA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483.00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77F698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69AE8B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1A38A93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486AA0EC">
            <w:pPr>
              <w:jc w:val="center"/>
              <w:rPr>
                <w:rFonts w:hint="eastAsia" w:ascii="宋体" w:hAnsi="宋体" w:eastAsia="宋体" w:cs="宋体"/>
                <w:i w:val="0"/>
                <w:iCs w:val="0"/>
                <w:color w:val="000000"/>
                <w:sz w:val="18"/>
                <w:szCs w:val="18"/>
                <w:u w:val="none"/>
              </w:rPr>
            </w:pPr>
          </w:p>
        </w:tc>
      </w:tr>
      <w:tr w14:paraId="2C9886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65B38745">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5B923C9B">
            <w:pPr>
              <w:jc w:val="center"/>
              <w:rPr>
                <w:rFonts w:hint="eastAsia" w:ascii="宋体" w:hAnsi="宋体" w:eastAsia="宋体" w:cs="宋体"/>
                <w:i w:val="0"/>
                <w:iCs w:val="0"/>
                <w:color w:val="000000"/>
                <w:sz w:val="18"/>
                <w:szCs w:val="18"/>
                <w:u w:val="none"/>
              </w:rPr>
            </w:pPr>
          </w:p>
        </w:tc>
        <w:tc>
          <w:tcPr>
            <w:tcW w:w="476" w:type="pct"/>
            <w:vMerge w:val="restart"/>
            <w:tcBorders>
              <w:top w:val="single" w:color="000000" w:sz="4" w:space="0"/>
              <w:left w:val="single" w:color="000000" w:sz="4" w:space="0"/>
              <w:bottom w:val="nil"/>
              <w:right w:val="single" w:color="000000" w:sz="4" w:space="0"/>
            </w:tcBorders>
            <w:shd w:val="clear" w:color="auto" w:fill="auto"/>
            <w:vAlign w:val="center"/>
          </w:tcPr>
          <w:p w14:paraId="2301B7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8E28C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布病患者治愈率治疗率管理率</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7AEFD3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10D00E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40235A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6FDE2A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99.00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1BBE2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30CB5F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5DB7870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43819E6E">
            <w:pPr>
              <w:jc w:val="center"/>
              <w:rPr>
                <w:rFonts w:hint="eastAsia" w:ascii="宋体" w:hAnsi="宋体" w:eastAsia="宋体" w:cs="宋体"/>
                <w:i w:val="0"/>
                <w:iCs w:val="0"/>
                <w:color w:val="000000"/>
                <w:sz w:val="18"/>
                <w:szCs w:val="18"/>
                <w:u w:val="none"/>
              </w:rPr>
            </w:pPr>
          </w:p>
        </w:tc>
      </w:tr>
      <w:tr w14:paraId="09E42A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7DC42273">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456D912A">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5A65A4C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248D9D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结核病治疗率到位率密接筛查率</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324046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03D8D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4867B8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23873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95.80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654797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051E4F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7968A3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0361DFB4">
            <w:pPr>
              <w:jc w:val="center"/>
              <w:rPr>
                <w:rFonts w:hint="eastAsia" w:ascii="宋体" w:hAnsi="宋体" w:eastAsia="宋体" w:cs="宋体"/>
                <w:i w:val="0"/>
                <w:iCs w:val="0"/>
                <w:color w:val="000000"/>
                <w:sz w:val="18"/>
                <w:szCs w:val="18"/>
                <w:u w:val="none"/>
              </w:rPr>
            </w:pPr>
          </w:p>
        </w:tc>
      </w:tr>
      <w:tr w14:paraId="5E4A6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38702336">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08476F36">
            <w:pPr>
              <w:jc w:val="center"/>
              <w:rPr>
                <w:rFonts w:hint="eastAsia" w:ascii="宋体" w:hAnsi="宋体" w:eastAsia="宋体" w:cs="宋体"/>
                <w:i w:val="0"/>
                <w:iCs w:val="0"/>
                <w:color w:val="000000"/>
                <w:sz w:val="18"/>
                <w:szCs w:val="18"/>
                <w:u w:val="none"/>
              </w:rPr>
            </w:pPr>
          </w:p>
        </w:tc>
        <w:tc>
          <w:tcPr>
            <w:tcW w:w="476" w:type="pct"/>
            <w:vMerge w:val="restart"/>
            <w:tcBorders>
              <w:top w:val="single" w:color="000000" w:sz="4" w:space="0"/>
              <w:left w:val="single" w:color="000000" w:sz="4" w:space="0"/>
              <w:bottom w:val="nil"/>
              <w:right w:val="single" w:color="000000" w:sz="4" w:space="0"/>
            </w:tcBorders>
            <w:shd w:val="clear" w:color="auto" w:fill="auto"/>
            <w:vAlign w:val="center"/>
          </w:tcPr>
          <w:p w14:paraId="4E8AF0B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8C488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完成年度工作任务时限</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F77FC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2BCA35EE">
            <w:pPr>
              <w:jc w:val="center"/>
              <w:rPr>
                <w:rFonts w:hint="eastAsia" w:ascii="宋体" w:hAnsi="宋体" w:eastAsia="宋体" w:cs="宋体"/>
                <w:i w:val="0"/>
                <w:iCs w:val="0"/>
                <w:color w:val="000000"/>
                <w:sz w:val="18"/>
                <w:szCs w:val="18"/>
                <w:u w:val="none"/>
              </w:rPr>
            </w:pPr>
          </w:p>
        </w:tc>
        <w:tc>
          <w:tcPr>
            <w:tcW w:w="391" w:type="pct"/>
            <w:tcBorders>
              <w:top w:val="single" w:color="000000" w:sz="4" w:space="0"/>
              <w:left w:val="single" w:color="000000" w:sz="4" w:space="0"/>
              <w:bottom w:val="nil"/>
              <w:right w:val="single" w:color="000000" w:sz="4" w:space="0"/>
            </w:tcBorders>
            <w:shd w:val="clear" w:color="auto" w:fill="auto"/>
            <w:vAlign w:val="center"/>
          </w:tcPr>
          <w:p w14:paraId="1642F9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191413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72DF29DD">
            <w:pPr>
              <w:jc w:val="center"/>
              <w:rPr>
                <w:rFonts w:hint="eastAsia" w:ascii="宋体" w:hAnsi="宋体" w:eastAsia="宋体" w:cs="宋体"/>
                <w:i w:val="0"/>
                <w:iCs w:val="0"/>
                <w:color w:val="000000"/>
                <w:sz w:val="18"/>
                <w:szCs w:val="18"/>
                <w:u w:val="none"/>
              </w:rPr>
            </w:pPr>
          </w:p>
        </w:tc>
        <w:tc>
          <w:tcPr>
            <w:tcW w:w="334" w:type="pct"/>
            <w:tcBorders>
              <w:top w:val="single" w:color="000000" w:sz="4" w:space="0"/>
              <w:left w:val="single" w:color="000000" w:sz="4" w:space="0"/>
              <w:bottom w:val="nil"/>
              <w:right w:val="single" w:color="000000" w:sz="4" w:space="0"/>
            </w:tcBorders>
            <w:shd w:val="clear" w:color="auto" w:fill="auto"/>
            <w:vAlign w:val="center"/>
          </w:tcPr>
          <w:p w14:paraId="2EC56E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1DE7DB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0DF34FA6">
            <w:pPr>
              <w:jc w:val="center"/>
              <w:rPr>
                <w:rFonts w:hint="eastAsia" w:ascii="宋体" w:hAnsi="宋体" w:eastAsia="宋体" w:cs="宋体"/>
                <w:i w:val="0"/>
                <w:iCs w:val="0"/>
                <w:color w:val="000000"/>
                <w:sz w:val="18"/>
                <w:szCs w:val="18"/>
                <w:u w:val="none"/>
              </w:rPr>
            </w:pPr>
          </w:p>
        </w:tc>
      </w:tr>
      <w:tr w14:paraId="3F7025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52B844EC">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515AA2B8">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131C4B7C">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1FFB64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2040CF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390F78B1">
            <w:pPr>
              <w:jc w:val="center"/>
              <w:rPr>
                <w:rFonts w:hint="eastAsia" w:ascii="宋体" w:hAnsi="宋体" w:eastAsia="宋体" w:cs="宋体"/>
                <w:i w:val="0"/>
                <w:iCs w:val="0"/>
                <w:color w:val="000000"/>
                <w:sz w:val="18"/>
                <w:szCs w:val="18"/>
                <w:u w:val="none"/>
              </w:rPr>
            </w:pPr>
          </w:p>
        </w:tc>
        <w:tc>
          <w:tcPr>
            <w:tcW w:w="391" w:type="pct"/>
            <w:tcBorders>
              <w:top w:val="single" w:color="000000" w:sz="4" w:space="0"/>
              <w:left w:val="single" w:color="000000" w:sz="4" w:space="0"/>
              <w:bottom w:val="nil"/>
              <w:right w:val="single" w:color="000000" w:sz="4" w:space="0"/>
            </w:tcBorders>
            <w:shd w:val="clear" w:color="auto" w:fill="auto"/>
            <w:vAlign w:val="center"/>
          </w:tcPr>
          <w:p w14:paraId="1304D4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761CCE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2024年12月底前</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15EA4B4C">
            <w:pPr>
              <w:jc w:val="center"/>
              <w:rPr>
                <w:rFonts w:hint="eastAsia" w:ascii="宋体" w:hAnsi="宋体" w:eastAsia="宋体" w:cs="宋体"/>
                <w:i w:val="0"/>
                <w:iCs w:val="0"/>
                <w:color w:val="000000"/>
                <w:sz w:val="18"/>
                <w:szCs w:val="18"/>
                <w:u w:val="none"/>
              </w:rPr>
            </w:pPr>
          </w:p>
        </w:tc>
        <w:tc>
          <w:tcPr>
            <w:tcW w:w="334" w:type="pct"/>
            <w:tcBorders>
              <w:top w:val="single" w:color="000000" w:sz="4" w:space="0"/>
              <w:left w:val="single" w:color="000000" w:sz="4" w:space="0"/>
              <w:bottom w:val="nil"/>
              <w:right w:val="single" w:color="000000" w:sz="4" w:space="0"/>
            </w:tcBorders>
            <w:shd w:val="clear" w:color="auto" w:fill="auto"/>
            <w:vAlign w:val="center"/>
          </w:tcPr>
          <w:p w14:paraId="52AD7B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55371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634AAC4F">
            <w:pPr>
              <w:jc w:val="center"/>
              <w:rPr>
                <w:rFonts w:hint="eastAsia" w:ascii="宋体" w:hAnsi="宋体" w:eastAsia="宋体" w:cs="宋体"/>
                <w:i w:val="0"/>
                <w:iCs w:val="0"/>
                <w:color w:val="000000"/>
                <w:sz w:val="18"/>
                <w:szCs w:val="18"/>
                <w:u w:val="none"/>
              </w:rPr>
            </w:pPr>
          </w:p>
        </w:tc>
      </w:tr>
      <w:tr w14:paraId="7ECF1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118EEE6D">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4D216A6B">
            <w:pPr>
              <w:jc w:val="center"/>
              <w:rPr>
                <w:rFonts w:hint="eastAsia" w:ascii="宋体" w:hAnsi="宋体" w:eastAsia="宋体" w:cs="宋体"/>
                <w:i w:val="0"/>
                <w:iCs w:val="0"/>
                <w:color w:val="000000"/>
                <w:sz w:val="18"/>
                <w:szCs w:val="18"/>
                <w:u w:val="none"/>
              </w:rPr>
            </w:pPr>
          </w:p>
        </w:tc>
        <w:tc>
          <w:tcPr>
            <w:tcW w:w="476" w:type="pct"/>
            <w:vMerge w:val="restart"/>
            <w:tcBorders>
              <w:top w:val="single" w:color="000000" w:sz="4" w:space="0"/>
              <w:left w:val="single" w:color="000000" w:sz="4" w:space="0"/>
              <w:bottom w:val="nil"/>
              <w:right w:val="single" w:color="000000" w:sz="4" w:space="0"/>
            </w:tcBorders>
            <w:shd w:val="clear" w:color="auto" w:fill="auto"/>
            <w:vAlign w:val="center"/>
          </w:tcPr>
          <w:p w14:paraId="0012BD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17CF76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其中本级项目资金</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62AC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743957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5878A1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324CC0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17.73</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0A11BE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0B6514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77C7E0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5A54C9A4">
            <w:pPr>
              <w:jc w:val="center"/>
              <w:rPr>
                <w:rFonts w:hint="eastAsia" w:ascii="宋体" w:hAnsi="宋体" w:eastAsia="宋体" w:cs="宋体"/>
                <w:i w:val="0"/>
                <w:iCs w:val="0"/>
                <w:color w:val="000000"/>
                <w:sz w:val="18"/>
                <w:szCs w:val="18"/>
                <w:u w:val="none"/>
              </w:rPr>
            </w:pPr>
          </w:p>
        </w:tc>
      </w:tr>
      <w:tr w14:paraId="29872F8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4EBB37A6">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11B4F0CF">
            <w:pPr>
              <w:jc w:val="center"/>
              <w:rPr>
                <w:rFonts w:hint="eastAsia" w:ascii="宋体" w:hAnsi="宋体" w:eastAsia="宋体" w:cs="宋体"/>
                <w:i w:val="0"/>
                <w:iCs w:val="0"/>
                <w:color w:val="000000"/>
                <w:sz w:val="18"/>
                <w:szCs w:val="18"/>
                <w:u w:val="none"/>
              </w:rPr>
            </w:pPr>
          </w:p>
        </w:tc>
        <w:tc>
          <w:tcPr>
            <w:tcW w:w="476" w:type="pct"/>
            <w:vMerge w:val="continue"/>
            <w:tcBorders>
              <w:top w:val="single" w:color="000000" w:sz="4" w:space="0"/>
              <w:left w:val="single" w:color="000000" w:sz="4" w:space="0"/>
              <w:bottom w:val="nil"/>
              <w:right w:val="single" w:color="000000" w:sz="4" w:space="0"/>
            </w:tcBorders>
            <w:shd w:val="clear" w:color="auto" w:fill="auto"/>
            <w:vAlign w:val="center"/>
          </w:tcPr>
          <w:p w14:paraId="3E2B1979">
            <w:pPr>
              <w:jc w:val="center"/>
              <w:rPr>
                <w:rFonts w:hint="eastAsia" w:ascii="宋体" w:hAnsi="宋体" w:eastAsia="宋体" w:cs="宋体"/>
                <w:i w:val="0"/>
                <w:iCs w:val="0"/>
                <w:color w:val="000000"/>
                <w:sz w:val="18"/>
                <w:szCs w:val="18"/>
                <w:u w:val="none"/>
              </w:rPr>
            </w:pPr>
          </w:p>
        </w:tc>
        <w:tc>
          <w:tcPr>
            <w:tcW w:w="586" w:type="pct"/>
            <w:tcBorders>
              <w:top w:val="single" w:color="000000" w:sz="4" w:space="0"/>
              <w:left w:val="single" w:color="000000" w:sz="4" w:space="0"/>
              <w:bottom w:val="nil"/>
              <w:right w:val="single" w:color="000000" w:sz="4" w:space="0"/>
            </w:tcBorders>
            <w:shd w:val="clear" w:color="auto" w:fill="auto"/>
            <w:vAlign w:val="center"/>
          </w:tcPr>
          <w:p w14:paraId="3F805C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年度财政补助经费</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456E6D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17BCC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405B5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098A64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17.73</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04D242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03E2FBE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33F03B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03EB57B3">
            <w:pPr>
              <w:jc w:val="center"/>
              <w:rPr>
                <w:rFonts w:hint="eastAsia" w:ascii="宋体" w:hAnsi="宋体" w:eastAsia="宋体" w:cs="宋体"/>
                <w:i w:val="0"/>
                <w:iCs w:val="0"/>
                <w:color w:val="000000"/>
                <w:sz w:val="18"/>
                <w:szCs w:val="18"/>
                <w:u w:val="none"/>
              </w:rPr>
            </w:pPr>
          </w:p>
        </w:tc>
      </w:tr>
      <w:tr w14:paraId="75301D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5E968F86">
            <w:pPr>
              <w:jc w:val="center"/>
              <w:rPr>
                <w:rFonts w:hint="eastAsia" w:ascii="宋体" w:hAnsi="宋体" w:eastAsia="宋体" w:cs="宋体"/>
                <w:i w:val="0"/>
                <w:iCs w:val="0"/>
                <w:color w:val="000000"/>
                <w:sz w:val="18"/>
                <w:szCs w:val="18"/>
                <w:u w:val="none"/>
              </w:rPr>
            </w:pPr>
          </w:p>
        </w:tc>
        <w:tc>
          <w:tcPr>
            <w:tcW w:w="357" w:type="pct"/>
            <w:vMerge w:val="restart"/>
            <w:tcBorders>
              <w:top w:val="single" w:color="000000" w:sz="4" w:space="0"/>
              <w:left w:val="single" w:color="000000" w:sz="4" w:space="0"/>
              <w:bottom w:val="nil"/>
              <w:right w:val="single" w:color="000000" w:sz="4" w:space="0"/>
            </w:tcBorders>
            <w:shd w:val="clear" w:color="auto" w:fill="auto"/>
            <w:vAlign w:val="center"/>
          </w:tcPr>
          <w:p w14:paraId="49408F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29007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F43759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加强重点传染病的有效控制率</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63C1F9A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480D77E2">
            <w:pPr>
              <w:jc w:val="center"/>
              <w:rPr>
                <w:rFonts w:hint="eastAsia" w:ascii="宋体" w:hAnsi="宋体" w:eastAsia="宋体" w:cs="宋体"/>
                <w:i w:val="0"/>
                <w:iCs w:val="0"/>
                <w:color w:val="000000"/>
                <w:sz w:val="18"/>
                <w:szCs w:val="18"/>
                <w:u w:val="none"/>
              </w:rPr>
            </w:pPr>
          </w:p>
        </w:tc>
        <w:tc>
          <w:tcPr>
            <w:tcW w:w="391" w:type="pct"/>
            <w:tcBorders>
              <w:top w:val="single" w:color="000000" w:sz="4" w:space="0"/>
              <w:left w:val="single" w:color="000000" w:sz="4" w:space="0"/>
              <w:bottom w:val="nil"/>
              <w:right w:val="single" w:color="000000" w:sz="4" w:space="0"/>
            </w:tcBorders>
            <w:shd w:val="clear" w:color="auto" w:fill="auto"/>
            <w:vAlign w:val="center"/>
          </w:tcPr>
          <w:p w14:paraId="5944C7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39C098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加强</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6157C0F1">
            <w:pPr>
              <w:jc w:val="center"/>
              <w:rPr>
                <w:rFonts w:hint="eastAsia" w:ascii="宋体" w:hAnsi="宋体" w:eastAsia="宋体" w:cs="宋体"/>
                <w:i w:val="0"/>
                <w:iCs w:val="0"/>
                <w:color w:val="000000"/>
                <w:sz w:val="18"/>
                <w:szCs w:val="18"/>
                <w:u w:val="none"/>
              </w:rPr>
            </w:pPr>
          </w:p>
        </w:tc>
        <w:tc>
          <w:tcPr>
            <w:tcW w:w="334" w:type="pct"/>
            <w:tcBorders>
              <w:top w:val="single" w:color="000000" w:sz="4" w:space="0"/>
              <w:left w:val="single" w:color="000000" w:sz="4" w:space="0"/>
              <w:bottom w:val="nil"/>
              <w:right w:val="single" w:color="000000" w:sz="4" w:space="0"/>
            </w:tcBorders>
            <w:shd w:val="clear" w:color="auto" w:fill="auto"/>
            <w:vAlign w:val="center"/>
          </w:tcPr>
          <w:p w14:paraId="59C009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4FA61C7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0A054A8A">
            <w:pPr>
              <w:jc w:val="center"/>
              <w:rPr>
                <w:rFonts w:hint="eastAsia" w:ascii="宋体" w:hAnsi="宋体" w:eastAsia="宋体" w:cs="宋体"/>
                <w:i w:val="0"/>
                <w:iCs w:val="0"/>
                <w:color w:val="000000"/>
                <w:sz w:val="18"/>
                <w:szCs w:val="18"/>
                <w:u w:val="none"/>
              </w:rPr>
            </w:pPr>
          </w:p>
        </w:tc>
      </w:tr>
      <w:tr w14:paraId="721BB3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3F9A9B3E">
            <w:pPr>
              <w:jc w:val="center"/>
              <w:rPr>
                <w:rFonts w:hint="eastAsia" w:ascii="宋体" w:hAnsi="宋体" w:eastAsia="宋体" w:cs="宋体"/>
                <w:i w:val="0"/>
                <w:iCs w:val="0"/>
                <w:color w:val="000000"/>
                <w:sz w:val="18"/>
                <w:szCs w:val="18"/>
                <w:u w:val="none"/>
              </w:rPr>
            </w:pPr>
          </w:p>
        </w:tc>
        <w:tc>
          <w:tcPr>
            <w:tcW w:w="357" w:type="pct"/>
            <w:vMerge w:val="continue"/>
            <w:tcBorders>
              <w:top w:val="single" w:color="000000" w:sz="4" w:space="0"/>
              <w:left w:val="single" w:color="000000" w:sz="4" w:space="0"/>
              <w:bottom w:val="nil"/>
              <w:right w:val="single" w:color="000000" w:sz="4" w:space="0"/>
            </w:tcBorders>
            <w:shd w:val="clear" w:color="auto" w:fill="auto"/>
            <w:vAlign w:val="center"/>
          </w:tcPr>
          <w:p w14:paraId="36122CAE">
            <w:pPr>
              <w:jc w:val="center"/>
              <w:rPr>
                <w:rFonts w:hint="eastAsia" w:ascii="宋体" w:hAnsi="宋体" w:eastAsia="宋体" w:cs="宋体"/>
                <w:i w:val="0"/>
                <w:iCs w:val="0"/>
                <w:color w:val="000000"/>
                <w:sz w:val="18"/>
                <w:szCs w:val="18"/>
                <w:u w:val="none"/>
              </w:rPr>
            </w:pPr>
          </w:p>
        </w:tc>
        <w:tc>
          <w:tcPr>
            <w:tcW w:w="476" w:type="pct"/>
            <w:tcBorders>
              <w:top w:val="single" w:color="000000" w:sz="4" w:space="0"/>
              <w:left w:val="single" w:color="000000" w:sz="4" w:space="0"/>
              <w:bottom w:val="nil"/>
              <w:right w:val="single" w:color="000000" w:sz="4" w:space="0"/>
            </w:tcBorders>
            <w:shd w:val="clear" w:color="auto" w:fill="auto"/>
            <w:vAlign w:val="center"/>
          </w:tcPr>
          <w:p w14:paraId="5D60E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1CE64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保障居民生命健康</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561A80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61D9F54E">
            <w:pPr>
              <w:jc w:val="center"/>
              <w:rPr>
                <w:rFonts w:hint="eastAsia" w:ascii="宋体" w:hAnsi="宋体" w:eastAsia="宋体" w:cs="宋体"/>
                <w:i w:val="0"/>
                <w:iCs w:val="0"/>
                <w:color w:val="000000"/>
                <w:sz w:val="18"/>
                <w:szCs w:val="18"/>
                <w:u w:val="none"/>
              </w:rPr>
            </w:pPr>
          </w:p>
        </w:tc>
        <w:tc>
          <w:tcPr>
            <w:tcW w:w="391" w:type="pct"/>
            <w:tcBorders>
              <w:top w:val="single" w:color="000000" w:sz="4" w:space="0"/>
              <w:left w:val="single" w:color="000000" w:sz="4" w:space="0"/>
              <w:bottom w:val="nil"/>
              <w:right w:val="single" w:color="000000" w:sz="4" w:space="0"/>
            </w:tcBorders>
            <w:shd w:val="clear" w:color="auto" w:fill="auto"/>
            <w:vAlign w:val="center"/>
          </w:tcPr>
          <w:p w14:paraId="6AEC0B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1802023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088BE299">
            <w:pPr>
              <w:jc w:val="center"/>
              <w:rPr>
                <w:rFonts w:hint="eastAsia" w:ascii="宋体" w:hAnsi="宋体" w:eastAsia="宋体" w:cs="宋体"/>
                <w:i w:val="0"/>
                <w:iCs w:val="0"/>
                <w:color w:val="000000"/>
                <w:sz w:val="18"/>
                <w:szCs w:val="18"/>
                <w:u w:val="none"/>
              </w:rPr>
            </w:pPr>
          </w:p>
        </w:tc>
        <w:tc>
          <w:tcPr>
            <w:tcW w:w="334" w:type="pct"/>
            <w:tcBorders>
              <w:top w:val="single" w:color="000000" w:sz="4" w:space="0"/>
              <w:left w:val="single" w:color="000000" w:sz="4" w:space="0"/>
              <w:bottom w:val="nil"/>
              <w:right w:val="single" w:color="000000" w:sz="4" w:space="0"/>
            </w:tcBorders>
            <w:shd w:val="clear" w:color="auto" w:fill="auto"/>
            <w:vAlign w:val="center"/>
          </w:tcPr>
          <w:p w14:paraId="46467C2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1DF282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27A5E659">
            <w:pPr>
              <w:jc w:val="center"/>
              <w:rPr>
                <w:rFonts w:hint="eastAsia" w:ascii="宋体" w:hAnsi="宋体" w:eastAsia="宋体" w:cs="宋体"/>
                <w:i w:val="0"/>
                <w:iCs w:val="0"/>
                <w:color w:val="000000"/>
                <w:sz w:val="18"/>
                <w:szCs w:val="18"/>
                <w:u w:val="none"/>
              </w:rPr>
            </w:pPr>
          </w:p>
        </w:tc>
      </w:tr>
      <w:tr w14:paraId="2341C7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351" w:type="pct"/>
            <w:vMerge w:val="continue"/>
            <w:tcBorders>
              <w:top w:val="single" w:color="000000" w:sz="4" w:space="0"/>
              <w:left w:val="single" w:color="000000" w:sz="4" w:space="0"/>
              <w:bottom w:val="nil"/>
              <w:right w:val="single" w:color="000000" w:sz="4" w:space="0"/>
            </w:tcBorders>
            <w:shd w:val="clear" w:color="auto" w:fill="auto"/>
            <w:vAlign w:val="center"/>
          </w:tcPr>
          <w:p w14:paraId="4AEC9D4D">
            <w:pPr>
              <w:jc w:val="center"/>
              <w:rPr>
                <w:rFonts w:hint="eastAsia" w:ascii="宋体" w:hAnsi="宋体" w:eastAsia="宋体" w:cs="宋体"/>
                <w:i w:val="0"/>
                <w:iCs w:val="0"/>
                <w:color w:val="000000"/>
                <w:sz w:val="18"/>
                <w:szCs w:val="18"/>
                <w:u w:val="none"/>
              </w:rPr>
            </w:pPr>
          </w:p>
        </w:tc>
        <w:tc>
          <w:tcPr>
            <w:tcW w:w="357" w:type="pct"/>
            <w:tcBorders>
              <w:top w:val="single" w:color="000000" w:sz="4" w:space="0"/>
              <w:left w:val="single" w:color="000000" w:sz="4" w:space="0"/>
              <w:bottom w:val="nil"/>
              <w:right w:val="single" w:color="000000" w:sz="4" w:space="0"/>
            </w:tcBorders>
            <w:shd w:val="clear" w:color="auto" w:fill="auto"/>
            <w:vAlign w:val="center"/>
          </w:tcPr>
          <w:p w14:paraId="109F02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476" w:type="pct"/>
            <w:tcBorders>
              <w:top w:val="single" w:color="000000" w:sz="4" w:space="0"/>
              <w:left w:val="single" w:color="000000" w:sz="4" w:space="0"/>
              <w:bottom w:val="nil"/>
              <w:right w:val="single" w:color="000000" w:sz="4" w:space="0"/>
            </w:tcBorders>
            <w:shd w:val="clear" w:color="auto" w:fill="auto"/>
            <w:vAlign w:val="center"/>
          </w:tcPr>
          <w:p w14:paraId="0E7727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586" w:type="pct"/>
            <w:tcBorders>
              <w:top w:val="single" w:color="000000" w:sz="4" w:space="0"/>
              <w:left w:val="single" w:color="000000" w:sz="4" w:space="0"/>
              <w:bottom w:val="nil"/>
              <w:right w:val="single" w:color="000000" w:sz="4" w:space="0"/>
            </w:tcBorders>
            <w:shd w:val="clear" w:color="auto" w:fill="auto"/>
            <w:vAlign w:val="center"/>
          </w:tcPr>
          <w:p w14:paraId="5D3A3F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受益群众满意度</w:t>
            </w:r>
          </w:p>
        </w:tc>
        <w:tc>
          <w:tcPr>
            <w:tcW w:w="374" w:type="pct"/>
            <w:tcBorders>
              <w:top w:val="single" w:color="000000" w:sz="4" w:space="0"/>
              <w:left w:val="single" w:color="000000" w:sz="4" w:space="0"/>
              <w:bottom w:val="nil"/>
              <w:right w:val="single" w:color="000000" w:sz="4" w:space="0"/>
            </w:tcBorders>
            <w:shd w:val="clear" w:color="auto" w:fill="auto"/>
            <w:vAlign w:val="center"/>
          </w:tcPr>
          <w:p w14:paraId="0FCC06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32" w:type="pct"/>
            <w:tcBorders>
              <w:top w:val="single" w:color="000000" w:sz="4" w:space="0"/>
              <w:left w:val="single" w:color="000000" w:sz="4" w:space="0"/>
              <w:bottom w:val="nil"/>
              <w:right w:val="single" w:color="000000" w:sz="4" w:space="0"/>
            </w:tcBorders>
            <w:shd w:val="clear" w:color="auto" w:fill="auto"/>
            <w:vAlign w:val="center"/>
          </w:tcPr>
          <w:p w14:paraId="5C2D34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391" w:type="pct"/>
            <w:tcBorders>
              <w:top w:val="single" w:color="000000" w:sz="4" w:space="0"/>
              <w:left w:val="single" w:color="000000" w:sz="4" w:space="0"/>
              <w:bottom w:val="nil"/>
              <w:right w:val="single" w:color="000000" w:sz="4" w:space="0"/>
            </w:tcBorders>
            <w:shd w:val="clear" w:color="auto" w:fill="auto"/>
            <w:vAlign w:val="center"/>
          </w:tcPr>
          <w:p w14:paraId="38E849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397" w:type="pct"/>
            <w:tcBorders>
              <w:top w:val="single" w:color="000000" w:sz="4" w:space="0"/>
              <w:left w:val="single" w:color="000000" w:sz="4" w:space="0"/>
              <w:bottom w:val="nil"/>
              <w:right w:val="single" w:color="000000" w:sz="4" w:space="0"/>
            </w:tcBorders>
            <w:shd w:val="clear" w:color="auto" w:fill="auto"/>
            <w:vAlign w:val="center"/>
          </w:tcPr>
          <w:p w14:paraId="404BE48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317" w:type="pct"/>
            <w:tcBorders>
              <w:top w:val="single" w:color="000000" w:sz="4" w:space="0"/>
              <w:left w:val="single" w:color="000000" w:sz="4" w:space="0"/>
              <w:bottom w:val="nil"/>
              <w:right w:val="single" w:color="000000" w:sz="4" w:space="0"/>
            </w:tcBorders>
            <w:shd w:val="clear" w:color="auto" w:fill="auto"/>
            <w:vAlign w:val="center"/>
          </w:tcPr>
          <w:p w14:paraId="4EAD52F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34" w:type="pct"/>
            <w:tcBorders>
              <w:top w:val="single" w:color="000000" w:sz="4" w:space="0"/>
              <w:left w:val="single" w:color="000000" w:sz="4" w:space="0"/>
              <w:bottom w:val="nil"/>
              <w:right w:val="single" w:color="000000" w:sz="4" w:space="0"/>
            </w:tcBorders>
            <w:shd w:val="clear" w:color="auto" w:fill="auto"/>
            <w:vAlign w:val="center"/>
          </w:tcPr>
          <w:p w14:paraId="3661B8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46" w:type="pct"/>
            <w:tcBorders>
              <w:top w:val="single" w:color="000000" w:sz="4" w:space="0"/>
              <w:left w:val="single" w:color="000000" w:sz="4" w:space="0"/>
              <w:bottom w:val="nil"/>
              <w:right w:val="single" w:color="000000" w:sz="4" w:space="0"/>
            </w:tcBorders>
            <w:shd w:val="clear" w:color="auto" w:fill="auto"/>
            <w:vAlign w:val="center"/>
          </w:tcPr>
          <w:p w14:paraId="10CFEA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35" w:type="pct"/>
            <w:tcBorders>
              <w:top w:val="single" w:color="000000" w:sz="4" w:space="0"/>
              <w:left w:val="single" w:color="000000" w:sz="4" w:space="0"/>
              <w:bottom w:val="nil"/>
              <w:right w:val="single" w:color="000000" w:sz="4" w:space="0"/>
            </w:tcBorders>
            <w:shd w:val="clear" w:color="auto" w:fill="auto"/>
            <w:vAlign w:val="center"/>
          </w:tcPr>
          <w:p w14:paraId="6CD1E054">
            <w:pPr>
              <w:jc w:val="center"/>
              <w:rPr>
                <w:rFonts w:hint="eastAsia" w:ascii="宋体" w:hAnsi="宋体" w:eastAsia="宋体" w:cs="宋体"/>
                <w:i w:val="0"/>
                <w:iCs w:val="0"/>
                <w:color w:val="000000"/>
                <w:sz w:val="18"/>
                <w:szCs w:val="18"/>
                <w:u w:val="none"/>
              </w:rPr>
            </w:pPr>
          </w:p>
        </w:tc>
      </w:tr>
      <w:tr w14:paraId="6CE57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3683"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E6B46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3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847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4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D6E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98.23</w:t>
            </w:r>
          </w:p>
        </w:tc>
        <w:tc>
          <w:tcPr>
            <w:tcW w:w="63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7A75B3">
            <w:pPr>
              <w:jc w:val="center"/>
              <w:rPr>
                <w:rFonts w:hint="eastAsia" w:ascii="宋体" w:hAnsi="宋体" w:eastAsia="宋体" w:cs="宋体"/>
                <w:i w:val="0"/>
                <w:iCs w:val="0"/>
                <w:color w:val="000000"/>
                <w:sz w:val="18"/>
                <w:szCs w:val="18"/>
                <w:u w:val="none"/>
              </w:rPr>
            </w:pPr>
          </w:p>
        </w:tc>
      </w:tr>
    </w:tbl>
    <w:p w14:paraId="5BF5127C">
      <w:pPr>
        <w:widowControl/>
        <w:spacing w:before="240" w:after="240"/>
        <w:ind w:firstLine="540" w:firstLineChars="200"/>
        <w:jc w:val="left"/>
        <w:rPr>
          <w:rFonts w:hint="default" w:ascii="Times New Roman" w:hAnsi="Times New Roman" w:eastAsia="kai_ti_gb2312" w:cs="Times New Roman"/>
          <w:b/>
          <w:bCs/>
          <w:kern w:val="0"/>
          <w:sz w:val="27"/>
          <w:szCs w:val="27"/>
          <w:u w:val="none" w:color="auto"/>
        </w:rPr>
      </w:pP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430"/>
        <w:gridCol w:w="456"/>
        <w:gridCol w:w="1067"/>
        <w:gridCol w:w="1241"/>
        <w:gridCol w:w="802"/>
        <w:gridCol w:w="820"/>
        <w:gridCol w:w="576"/>
        <w:gridCol w:w="924"/>
        <w:gridCol w:w="812"/>
        <w:gridCol w:w="755"/>
        <w:gridCol w:w="733"/>
        <w:gridCol w:w="1340"/>
      </w:tblGrid>
      <w:tr w14:paraId="7666C8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63644041">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14:paraId="250F9B2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1F7502E">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554"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2B760DC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国家医师资格考试、全国卫生专业技术资格考试考务费</w:t>
            </w:r>
          </w:p>
        </w:tc>
      </w:tr>
      <w:tr w14:paraId="726889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45"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EC0709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1974"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36BFAB9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鄂尔多斯市卫生健康委员会（鄂尔多斯市中医药管理局）（部门）</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37FA1DC">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26"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88EF59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w:t>
            </w:r>
          </w:p>
        </w:tc>
      </w:tr>
      <w:tr w14:paraId="6B8AF1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4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9AD477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271CE">
            <w:pP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03B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01EEC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D5183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B80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E9B2C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09AA6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2AEA58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4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6CDFA9">
            <w:pPr>
              <w:jc w:val="center"/>
              <w:rPr>
                <w:rFonts w:hint="eastAsia" w:ascii="宋体" w:hAnsi="宋体" w:eastAsia="宋体" w:cs="宋体"/>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B4AE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875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C545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B39AC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48C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4935F7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4130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r>
      <w:tr w14:paraId="49C650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4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3D3F82A">
            <w:pPr>
              <w:jc w:val="center"/>
              <w:rPr>
                <w:rFonts w:hint="eastAsia" w:ascii="宋体" w:hAnsi="宋体" w:eastAsia="宋体" w:cs="宋体"/>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C8D42">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790AD">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70F4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94980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D1569">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1E4C3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6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EAF53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782F07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4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0D0BC34">
            <w:pPr>
              <w:jc w:val="center"/>
              <w:rPr>
                <w:rFonts w:hint="eastAsia" w:ascii="宋体" w:hAnsi="宋体" w:eastAsia="宋体" w:cs="宋体"/>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751C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5E17F">
            <w:pPr>
              <w:rPr>
                <w:rFonts w:hint="eastAsia" w:ascii="宋体" w:hAnsi="宋体" w:eastAsia="宋体" w:cs="宋体"/>
                <w:i w:val="0"/>
                <w:iCs w:val="0"/>
                <w:color w:val="000000"/>
                <w:sz w:val="18"/>
                <w:szCs w:val="18"/>
                <w:u w:val="none"/>
              </w:rPr>
            </w:pP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5D43B2">
            <w:pPr>
              <w:jc w:val="center"/>
              <w:rPr>
                <w:rFonts w:hint="eastAsia" w:ascii="宋体" w:hAnsi="宋体" w:eastAsia="宋体" w:cs="宋体"/>
                <w:i w:val="0"/>
                <w:iCs w:val="0"/>
                <w:color w:val="000000"/>
                <w:sz w:val="18"/>
                <w:szCs w:val="18"/>
                <w:u w:val="none"/>
              </w:rPr>
            </w:pP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0961EB">
            <w:pPr>
              <w:jc w:val="center"/>
              <w:rPr>
                <w:rFonts w:hint="eastAsia" w:ascii="宋体" w:hAnsi="宋体" w:eastAsia="宋体" w:cs="宋体"/>
                <w:i w:val="0"/>
                <w:iCs w:val="0"/>
                <w:color w:val="000000"/>
                <w:sz w:val="18"/>
                <w:szCs w:val="18"/>
                <w:u w:val="none"/>
              </w:rPr>
            </w:pP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72BD5F">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D786120">
            <w:pPr>
              <w:jc w:val="center"/>
              <w:rPr>
                <w:rFonts w:hint="eastAsia" w:ascii="宋体" w:hAnsi="宋体" w:eastAsia="宋体" w:cs="宋体"/>
                <w:i w:val="0"/>
                <w:iCs w:val="0"/>
                <w:color w:val="000000"/>
                <w:sz w:val="18"/>
                <w:szCs w:val="18"/>
                <w:u w:val="none"/>
              </w:rPr>
            </w:pPr>
          </w:p>
        </w:tc>
        <w:tc>
          <w:tcPr>
            <w:tcW w:w="6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7D020">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5FBB2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4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574602">
            <w:pPr>
              <w:jc w:val="center"/>
              <w:rPr>
                <w:rFonts w:hint="eastAsia" w:ascii="宋体" w:hAnsi="宋体" w:eastAsia="宋体" w:cs="宋体"/>
                <w:i w:val="0"/>
                <w:iCs w:val="0"/>
                <w:color w:val="000000"/>
                <w:sz w:val="18"/>
                <w:szCs w:val="18"/>
                <w:u w:val="none"/>
              </w:rPr>
            </w:pP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819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2CD3B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814"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28B866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53"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B4F1C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03"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DC0055">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74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0947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75"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8E8AEA">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654880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45"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D7E7D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26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6D9DBCA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2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B0881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291A1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445"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F56790">
            <w:pPr>
              <w:jc w:val="center"/>
              <w:rPr>
                <w:rFonts w:hint="eastAsia" w:ascii="宋体" w:hAnsi="宋体" w:eastAsia="宋体" w:cs="宋体"/>
                <w:i w:val="0"/>
                <w:iCs w:val="0"/>
                <w:color w:val="000000"/>
                <w:sz w:val="18"/>
                <w:szCs w:val="18"/>
                <w:u w:val="none"/>
              </w:rPr>
            </w:pPr>
          </w:p>
        </w:tc>
        <w:tc>
          <w:tcPr>
            <w:tcW w:w="226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94627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完成国家医师资格考试、护士执业资格、初中高级卫生专业技术资格等各类考试网上报名、资格审核、现场确认、网上缴费、资格复审等工作，顺利实施各项考试。</w:t>
            </w:r>
          </w:p>
        </w:tc>
        <w:tc>
          <w:tcPr>
            <w:tcW w:w="2290"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576D51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2024年，较为圆满的组织了国家医师资格、护士执业资格、卫生专业技术资格、卫生人才评价、住院医师规范化培训结业考试等五大类10个批次考试的网上报名、审核确认、网上缴费、报考资料退还和考试组织等工作，共计8733名考生参加考试。有序规范办理2024年度卫生专业技术资格和护士执业资格考试合格证明，顺利发放表格1932份、证书1892份。</w:t>
            </w:r>
          </w:p>
        </w:tc>
      </w:tr>
      <w:tr w14:paraId="34FC50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0" w:hRule="atLeast"/>
        </w:trPr>
        <w:tc>
          <w:tcPr>
            <w:tcW w:w="21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0D6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2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57085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D62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62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9961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32F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41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9AD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2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123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6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698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40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9E12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1FC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B0FA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D1D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0CA8B5D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restart"/>
            <w:tcBorders>
              <w:top w:val="single" w:color="000000" w:sz="4" w:space="0"/>
              <w:left w:val="single" w:color="000000" w:sz="4" w:space="0"/>
              <w:bottom w:val="nil"/>
              <w:right w:val="single" w:color="000000" w:sz="4" w:space="0"/>
            </w:tcBorders>
            <w:shd w:val="clear" w:color="auto" w:fill="auto"/>
            <w:vAlign w:val="center"/>
          </w:tcPr>
          <w:p w14:paraId="7CB685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29" w:type="pct"/>
            <w:vMerge w:val="restart"/>
            <w:tcBorders>
              <w:top w:val="single" w:color="000000" w:sz="4" w:space="0"/>
              <w:left w:val="single" w:color="000000" w:sz="4" w:space="0"/>
              <w:bottom w:val="nil"/>
              <w:right w:val="single" w:color="000000" w:sz="4" w:space="0"/>
            </w:tcBorders>
            <w:shd w:val="clear" w:color="auto" w:fill="auto"/>
            <w:vAlign w:val="center"/>
          </w:tcPr>
          <w:p w14:paraId="0BFB66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536" w:type="pct"/>
            <w:vMerge w:val="restart"/>
            <w:tcBorders>
              <w:top w:val="single" w:color="000000" w:sz="4" w:space="0"/>
              <w:left w:val="single" w:color="000000" w:sz="4" w:space="0"/>
              <w:bottom w:val="nil"/>
              <w:right w:val="single" w:color="000000" w:sz="4" w:space="0"/>
            </w:tcBorders>
            <w:shd w:val="clear" w:color="auto" w:fill="auto"/>
            <w:vAlign w:val="center"/>
          </w:tcPr>
          <w:p w14:paraId="50176A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549AB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专技资格考生数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F3C0D5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7DF9D0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7C4F8F4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3500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12C8CF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4081.00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76D96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23A6A1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01B4D3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522FCF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目标人数按上年度考生人数填报，本年度实际有所增加。</w:t>
            </w:r>
          </w:p>
        </w:tc>
      </w:tr>
      <w:tr w14:paraId="7C7E74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3A42A192">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7AC2463F">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758DFA78">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5DAE5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医考助理执业医师实践技能考生数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6DB09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268C6E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3A22A8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436317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606.00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1ED9E1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25904CA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3F14837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4DD158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目标人数按上年度考生人数填报，本年度实际有所减少。</w:t>
            </w:r>
          </w:p>
        </w:tc>
      </w:tr>
      <w:tr w14:paraId="7ADB0A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78B0B809">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63BD731F">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1311AAD6">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5E6EAD3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医考助理执业医师笔试考生数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B2298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7926E40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0566F3D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39A087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388.00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74590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26A4FE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1BF34ED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7D62A8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目标人数按上年度考生人数填报，本年度实际有所减少。</w:t>
            </w:r>
          </w:p>
        </w:tc>
      </w:tr>
      <w:tr w14:paraId="72AF59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4B5A387A">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42066A6C">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407A9501">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45DD0F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医考执业医师实践技能考生数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15F52A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49A417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7B69B8B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650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3C1BF33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621.00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AADEA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401C005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59FFD3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07D19C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目标人数按上年度考生人数填报，本年度实际有所减少。</w:t>
            </w:r>
          </w:p>
        </w:tc>
      </w:tr>
      <w:tr w14:paraId="3AED30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5987970">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124FE6B4">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0BD16CC0">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58CBE1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医考执业医师笔试考生数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CE55CF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380BA6E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45BE1B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600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63AC44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1017.00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57A5D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66C75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085B82A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78791DF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目标人数按上年度考生人数填报，本年度实际有所增加。</w:t>
            </w:r>
          </w:p>
        </w:tc>
      </w:tr>
      <w:tr w14:paraId="0C223AE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4EB7A167">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762BFFD2">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03626480">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045C96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卫专技高级资格考生数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D04C3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3EF9A37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2F7378B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347E70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1314.00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3E756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263648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5061A8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72ED5E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目标人数按上年度考生人数填报，本年度实际有所增加。</w:t>
            </w:r>
          </w:p>
        </w:tc>
      </w:tr>
      <w:tr w14:paraId="3BE453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340A7867">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74C87071">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27383CC4">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03075B5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护士职业资格考生数</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3D9CF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1F83760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212AEBA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4C8684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423.00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02AF2D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151F91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7E0121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4753DBE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目标人数按上年度考生人数填报，本年度实际有所减少。</w:t>
            </w:r>
          </w:p>
        </w:tc>
      </w:tr>
      <w:tr w14:paraId="7CC8A2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0343080B">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778EEE5E">
            <w:pPr>
              <w:jc w:val="center"/>
              <w:rPr>
                <w:rFonts w:hint="eastAsia" w:ascii="宋体" w:hAnsi="宋体" w:eastAsia="宋体" w:cs="宋体"/>
                <w:i w:val="0"/>
                <w:iCs w:val="0"/>
                <w:color w:val="000000"/>
                <w:sz w:val="18"/>
                <w:szCs w:val="18"/>
                <w:u w:val="none"/>
              </w:rPr>
            </w:pPr>
          </w:p>
        </w:tc>
        <w:tc>
          <w:tcPr>
            <w:tcW w:w="536" w:type="pct"/>
            <w:vMerge w:val="restart"/>
            <w:tcBorders>
              <w:top w:val="single" w:color="000000" w:sz="4" w:space="0"/>
              <w:left w:val="single" w:color="000000" w:sz="4" w:space="0"/>
              <w:bottom w:val="nil"/>
              <w:right w:val="single" w:color="000000" w:sz="4" w:space="0"/>
            </w:tcBorders>
            <w:shd w:val="clear" w:color="auto" w:fill="auto"/>
            <w:vAlign w:val="center"/>
          </w:tcPr>
          <w:p w14:paraId="57740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3A5972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舞弊行为发生率</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A85D22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4DBC14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61CAEE0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1A1FE2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51BC3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7A3A88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03CC3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2F2906A6">
            <w:pPr>
              <w:jc w:val="center"/>
              <w:rPr>
                <w:rFonts w:hint="eastAsia" w:ascii="宋体" w:hAnsi="宋体" w:eastAsia="宋体" w:cs="宋体"/>
                <w:i w:val="0"/>
                <w:iCs w:val="0"/>
                <w:color w:val="000000"/>
                <w:sz w:val="18"/>
                <w:szCs w:val="18"/>
                <w:u w:val="none"/>
              </w:rPr>
            </w:pPr>
          </w:p>
        </w:tc>
      </w:tr>
      <w:tr w14:paraId="7A768C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537ADF60">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6B3E1E6B">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3AD5A591">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066A28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资金执行率</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2103B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2873E0C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1BBAAB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436677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AABBE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72C9634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425C82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467F0460">
            <w:pPr>
              <w:jc w:val="center"/>
              <w:rPr>
                <w:rFonts w:hint="eastAsia" w:ascii="宋体" w:hAnsi="宋体" w:eastAsia="宋体" w:cs="宋体"/>
                <w:i w:val="0"/>
                <w:iCs w:val="0"/>
                <w:color w:val="000000"/>
                <w:sz w:val="18"/>
                <w:szCs w:val="18"/>
                <w:u w:val="none"/>
              </w:rPr>
            </w:pPr>
          </w:p>
        </w:tc>
      </w:tr>
      <w:tr w14:paraId="32D02A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5C96F275">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1A96CDB5">
            <w:pPr>
              <w:jc w:val="center"/>
              <w:rPr>
                <w:rFonts w:hint="eastAsia" w:ascii="宋体" w:hAnsi="宋体" w:eastAsia="宋体" w:cs="宋体"/>
                <w:i w:val="0"/>
                <w:iCs w:val="0"/>
                <w:color w:val="000000"/>
                <w:sz w:val="18"/>
                <w:szCs w:val="18"/>
                <w:u w:val="none"/>
              </w:rPr>
            </w:pPr>
          </w:p>
        </w:tc>
        <w:tc>
          <w:tcPr>
            <w:tcW w:w="536" w:type="pct"/>
            <w:vMerge w:val="restart"/>
            <w:tcBorders>
              <w:top w:val="single" w:color="000000" w:sz="4" w:space="0"/>
              <w:left w:val="single" w:color="000000" w:sz="4" w:space="0"/>
              <w:bottom w:val="nil"/>
              <w:right w:val="single" w:color="000000" w:sz="4" w:space="0"/>
            </w:tcBorders>
            <w:shd w:val="clear" w:color="auto" w:fill="auto"/>
            <w:vAlign w:val="center"/>
          </w:tcPr>
          <w:p w14:paraId="054FEF2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77CF076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任务完成时限</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74604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19F9CC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6705EF6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69B4C7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4177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月底</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4B2236D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5DE27CA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42FFA7B5">
            <w:pPr>
              <w:jc w:val="center"/>
              <w:rPr>
                <w:rFonts w:hint="eastAsia" w:ascii="宋体" w:hAnsi="宋体" w:eastAsia="宋体" w:cs="宋体"/>
                <w:i w:val="0"/>
                <w:iCs w:val="0"/>
                <w:color w:val="000000"/>
                <w:sz w:val="18"/>
                <w:szCs w:val="18"/>
                <w:u w:val="none"/>
              </w:rPr>
            </w:pPr>
          </w:p>
        </w:tc>
      </w:tr>
      <w:tr w14:paraId="690F5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A7738B6">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7F99F744">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64F9E6D4">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299AC6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资金支付时限</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00B8C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1E4ED4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0B9C01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37BDB5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12.00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249422B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月底</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51EBCB2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3A9C6F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2BF80340">
            <w:pPr>
              <w:jc w:val="center"/>
              <w:rPr>
                <w:rFonts w:hint="eastAsia" w:ascii="宋体" w:hAnsi="宋体" w:eastAsia="宋体" w:cs="宋体"/>
                <w:i w:val="0"/>
                <w:iCs w:val="0"/>
                <w:color w:val="000000"/>
                <w:sz w:val="18"/>
                <w:szCs w:val="18"/>
                <w:u w:val="none"/>
              </w:rPr>
            </w:pPr>
          </w:p>
        </w:tc>
      </w:tr>
      <w:tr w14:paraId="242444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8BA0EE4">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008CA585">
            <w:pPr>
              <w:jc w:val="center"/>
              <w:rPr>
                <w:rFonts w:hint="eastAsia" w:ascii="宋体" w:hAnsi="宋体" w:eastAsia="宋体" w:cs="宋体"/>
                <w:i w:val="0"/>
                <w:iCs w:val="0"/>
                <w:color w:val="000000"/>
                <w:sz w:val="18"/>
                <w:szCs w:val="18"/>
                <w:u w:val="none"/>
              </w:rPr>
            </w:pPr>
          </w:p>
        </w:tc>
        <w:tc>
          <w:tcPr>
            <w:tcW w:w="536" w:type="pct"/>
            <w:vMerge w:val="restart"/>
            <w:tcBorders>
              <w:top w:val="single" w:color="000000" w:sz="4" w:space="0"/>
              <w:left w:val="single" w:color="000000" w:sz="4" w:space="0"/>
              <w:bottom w:val="nil"/>
              <w:right w:val="single" w:color="000000" w:sz="4" w:space="0"/>
            </w:tcBorders>
            <w:shd w:val="clear" w:color="auto" w:fill="auto"/>
            <w:vAlign w:val="center"/>
          </w:tcPr>
          <w:p w14:paraId="30294DD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58D48AE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助理医师笔试考务费返还额度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7E64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4B4823A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7EEF27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5CB5BF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C321E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3AAD6F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0D1220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36A6F2DF">
            <w:pPr>
              <w:jc w:val="center"/>
              <w:rPr>
                <w:rFonts w:hint="eastAsia" w:ascii="宋体" w:hAnsi="宋体" w:eastAsia="宋体" w:cs="宋体"/>
                <w:i w:val="0"/>
                <w:iCs w:val="0"/>
                <w:color w:val="000000"/>
                <w:sz w:val="18"/>
                <w:szCs w:val="18"/>
                <w:u w:val="none"/>
              </w:rPr>
            </w:pPr>
          </w:p>
        </w:tc>
      </w:tr>
      <w:tr w14:paraId="2FFBAA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E661898">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4147EBF1">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3C18FFC5">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1BB941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助理执业实践技能考试考务费返还额度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D4D66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0749D71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6016C4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40DC7A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F6466B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38A475D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634C04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4FCAC196">
            <w:pPr>
              <w:jc w:val="center"/>
              <w:rPr>
                <w:rFonts w:hint="eastAsia" w:ascii="宋体" w:hAnsi="宋体" w:eastAsia="宋体" w:cs="宋体"/>
                <w:i w:val="0"/>
                <w:iCs w:val="0"/>
                <w:color w:val="000000"/>
                <w:sz w:val="18"/>
                <w:szCs w:val="18"/>
                <w:u w:val="none"/>
              </w:rPr>
            </w:pPr>
          </w:p>
        </w:tc>
      </w:tr>
      <w:tr w14:paraId="666401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F741040">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24FF3776">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7E969755">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1A286CB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卫生专业技术资格考试考务费返还额度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1C394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616DFB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2B9E6EC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3E9CEE1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4D5D9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元/科</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40D0DA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213CD9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30A86BE7">
            <w:pPr>
              <w:jc w:val="center"/>
              <w:rPr>
                <w:rFonts w:hint="eastAsia" w:ascii="宋体" w:hAnsi="宋体" w:eastAsia="宋体" w:cs="宋体"/>
                <w:i w:val="0"/>
                <w:iCs w:val="0"/>
                <w:color w:val="000000"/>
                <w:sz w:val="18"/>
                <w:szCs w:val="18"/>
                <w:u w:val="none"/>
              </w:rPr>
            </w:pPr>
          </w:p>
        </w:tc>
      </w:tr>
      <w:tr w14:paraId="29BC39D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299CB62B">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27C3C414">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52856605">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3FA181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卫生专业技术高级资格考务费返还额度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C90A55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019A69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0668FE9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2A1AF9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61702F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3E4A8AC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1D79DA1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3A583D3E">
            <w:pPr>
              <w:jc w:val="center"/>
              <w:rPr>
                <w:rFonts w:hint="eastAsia" w:ascii="宋体" w:hAnsi="宋体" w:eastAsia="宋体" w:cs="宋体"/>
                <w:i w:val="0"/>
                <w:iCs w:val="0"/>
                <w:color w:val="000000"/>
                <w:sz w:val="18"/>
                <w:szCs w:val="18"/>
                <w:u w:val="none"/>
              </w:rPr>
            </w:pPr>
          </w:p>
        </w:tc>
      </w:tr>
      <w:tr w14:paraId="24F05B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42A8D15B">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23609E36">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184A7D8E">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2D19453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执业医师实践技能考试考务费返还额度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D4A9E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1295BC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7EC316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3CE1DF8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140.00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7A028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6C88B0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733D26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7F33F586">
            <w:pPr>
              <w:jc w:val="center"/>
              <w:rPr>
                <w:rFonts w:hint="eastAsia" w:ascii="宋体" w:hAnsi="宋体" w:eastAsia="宋体" w:cs="宋体"/>
                <w:i w:val="0"/>
                <w:iCs w:val="0"/>
                <w:color w:val="000000"/>
                <w:sz w:val="18"/>
                <w:szCs w:val="18"/>
                <w:u w:val="none"/>
              </w:rPr>
            </w:pPr>
          </w:p>
        </w:tc>
      </w:tr>
      <w:tr w14:paraId="1DD8A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46919F8B">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056E77C7">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16329F29">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180114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执业医师笔试考务费返还额度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68C5E5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09B658B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6B77D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210E176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160.00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9E5C2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元/人</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34C041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26D4A1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054B8022">
            <w:pPr>
              <w:jc w:val="center"/>
              <w:rPr>
                <w:rFonts w:hint="eastAsia" w:ascii="宋体" w:hAnsi="宋体" w:eastAsia="宋体" w:cs="宋体"/>
                <w:i w:val="0"/>
                <w:iCs w:val="0"/>
                <w:color w:val="000000"/>
                <w:sz w:val="18"/>
                <w:szCs w:val="18"/>
                <w:u w:val="none"/>
              </w:rPr>
            </w:pPr>
          </w:p>
        </w:tc>
      </w:tr>
      <w:tr w14:paraId="61B4CD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644A652C">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6A408AE0">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0D616AA3">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644472F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护士职业资格考试考务费返还额度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F430B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675A3E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04E2FE9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03E070E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7A342AF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元/科</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2995F7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7B7EE36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095511D2">
            <w:pPr>
              <w:jc w:val="center"/>
              <w:rPr>
                <w:rFonts w:hint="eastAsia" w:ascii="宋体" w:hAnsi="宋体" w:eastAsia="宋体" w:cs="宋体"/>
                <w:i w:val="0"/>
                <w:iCs w:val="0"/>
                <w:color w:val="000000"/>
                <w:sz w:val="18"/>
                <w:szCs w:val="18"/>
                <w:u w:val="none"/>
              </w:rPr>
            </w:pPr>
          </w:p>
        </w:tc>
      </w:tr>
      <w:tr w14:paraId="75C2CC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07906359">
            <w:pPr>
              <w:jc w:val="center"/>
              <w:rPr>
                <w:rFonts w:hint="eastAsia" w:ascii="宋体" w:hAnsi="宋体" w:eastAsia="宋体" w:cs="宋体"/>
                <w:i w:val="0"/>
                <w:iCs w:val="0"/>
                <w:color w:val="000000"/>
                <w:sz w:val="18"/>
                <w:szCs w:val="18"/>
                <w:u w:val="none"/>
              </w:rPr>
            </w:pPr>
          </w:p>
        </w:tc>
        <w:tc>
          <w:tcPr>
            <w:tcW w:w="229" w:type="pct"/>
            <w:vMerge w:val="restart"/>
            <w:tcBorders>
              <w:top w:val="single" w:color="000000" w:sz="4" w:space="0"/>
              <w:left w:val="single" w:color="000000" w:sz="4" w:space="0"/>
              <w:bottom w:val="nil"/>
              <w:right w:val="single" w:color="000000" w:sz="4" w:space="0"/>
            </w:tcBorders>
            <w:shd w:val="clear" w:color="auto" w:fill="auto"/>
            <w:vAlign w:val="center"/>
          </w:tcPr>
          <w:p w14:paraId="372FBC7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536" w:type="pct"/>
            <w:vMerge w:val="restart"/>
            <w:tcBorders>
              <w:top w:val="single" w:color="000000" w:sz="4" w:space="0"/>
              <w:left w:val="single" w:color="000000" w:sz="4" w:space="0"/>
              <w:bottom w:val="nil"/>
              <w:right w:val="single" w:color="000000" w:sz="4" w:space="0"/>
            </w:tcBorders>
            <w:shd w:val="clear" w:color="auto" w:fill="auto"/>
            <w:vAlign w:val="center"/>
          </w:tcPr>
          <w:p w14:paraId="2386D9F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048EE38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保障医疗卫生安全及人民健康</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436547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39F7D0D4">
            <w:pPr>
              <w:jc w:val="center"/>
              <w:rPr>
                <w:rFonts w:hint="eastAsia" w:ascii="宋体" w:hAnsi="宋体" w:eastAsia="宋体" w:cs="宋体"/>
                <w:i w:val="0"/>
                <w:iCs w:val="0"/>
                <w:color w:val="000000"/>
                <w:sz w:val="18"/>
                <w:szCs w:val="18"/>
                <w:u w:val="none"/>
              </w:rPr>
            </w:pPr>
          </w:p>
        </w:tc>
        <w:tc>
          <w:tcPr>
            <w:tcW w:w="289" w:type="pct"/>
            <w:tcBorders>
              <w:top w:val="single" w:color="000000" w:sz="4" w:space="0"/>
              <w:left w:val="single" w:color="000000" w:sz="4" w:space="0"/>
              <w:bottom w:val="nil"/>
              <w:right w:val="single" w:color="000000" w:sz="4" w:space="0"/>
            </w:tcBorders>
            <w:shd w:val="clear" w:color="auto" w:fill="auto"/>
            <w:vAlign w:val="center"/>
          </w:tcPr>
          <w:p w14:paraId="4F242B5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54B1E38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D428F0F">
            <w:pPr>
              <w:jc w:val="center"/>
              <w:rPr>
                <w:rFonts w:hint="eastAsia" w:ascii="宋体" w:hAnsi="宋体" w:eastAsia="宋体" w:cs="宋体"/>
                <w:i w:val="0"/>
                <w:iCs w:val="0"/>
                <w:color w:val="000000"/>
                <w:sz w:val="18"/>
                <w:szCs w:val="18"/>
                <w:u w:val="none"/>
              </w:rPr>
            </w:pPr>
          </w:p>
        </w:tc>
        <w:tc>
          <w:tcPr>
            <w:tcW w:w="379" w:type="pct"/>
            <w:tcBorders>
              <w:top w:val="single" w:color="000000" w:sz="4" w:space="0"/>
              <w:left w:val="single" w:color="000000" w:sz="4" w:space="0"/>
              <w:bottom w:val="nil"/>
              <w:right w:val="single" w:color="000000" w:sz="4" w:space="0"/>
            </w:tcBorders>
            <w:shd w:val="clear" w:color="auto" w:fill="auto"/>
            <w:vAlign w:val="center"/>
          </w:tcPr>
          <w:p w14:paraId="349A04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7E81DE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1A04355E">
            <w:pPr>
              <w:jc w:val="center"/>
              <w:rPr>
                <w:rFonts w:hint="eastAsia" w:ascii="宋体" w:hAnsi="宋体" w:eastAsia="宋体" w:cs="宋体"/>
                <w:i w:val="0"/>
                <w:iCs w:val="0"/>
                <w:color w:val="000000"/>
                <w:sz w:val="18"/>
                <w:szCs w:val="18"/>
                <w:u w:val="none"/>
              </w:rPr>
            </w:pPr>
          </w:p>
        </w:tc>
      </w:tr>
      <w:tr w14:paraId="3D9E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3325EDCD">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3EBE5A7D">
            <w:pPr>
              <w:jc w:val="center"/>
              <w:rPr>
                <w:rFonts w:hint="eastAsia" w:ascii="宋体" w:hAnsi="宋体" w:eastAsia="宋体" w:cs="宋体"/>
                <w:i w:val="0"/>
                <w:iCs w:val="0"/>
                <w:color w:val="000000"/>
                <w:sz w:val="18"/>
                <w:szCs w:val="18"/>
                <w:u w:val="none"/>
              </w:rPr>
            </w:pPr>
          </w:p>
        </w:tc>
        <w:tc>
          <w:tcPr>
            <w:tcW w:w="536" w:type="pct"/>
            <w:vMerge w:val="continue"/>
            <w:tcBorders>
              <w:top w:val="single" w:color="000000" w:sz="4" w:space="0"/>
              <w:left w:val="single" w:color="000000" w:sz="4" w:space="0"/>
              <w:bottom w:val="nil"/>
              <w:right w:val="single" w:color="000000" w:sz="4" w:space="0"/>
            </w:tcBorders>
            <w:shd w:val="clear" w:color="auto" w:fill="auto"/>
            <w:vAlign w:val="center"/>
          </w:tcPr>
          <w:p w14:paraId="678D1981">
            <w:pPr>
              <w:jc w:val="center"/>
              <w:rPr>
                <w:rFonts w:hint="eastAsia" w:ascii="宋体" w:hAnsi="宋体" w:eastAsia="宋体" w:cs="宋体"/>
                <w:i w:val="0"/>
                <w:iCs w:val="0"/>
                <w:color w:val="000000"/>
                <w:sz w:val="18"/>
                <w:szCs w:val="18"/>
                <w:u w:val="none"/>
              </w:rPr>
            </w:pPr>
          </w:p>
        </w:tc>
        <w:tc>
          <w:tcPr>
            <w:tcW w:w="623" w:type="pct"/>
            <w:tcBorders>
              <w:top w:val="single" w:color="000000" w:sz="4" w:space="0"/>
              <w:left w:val="single" w:color="000000" w:sz="4" w:space="0"/>
              <w:bottom w:val="nil"/>
              <w:right w:val="single" w:color="000000" w:sz="4" w:space="0"/>
            </w:tcBorders>
            <w:shd w:val="clear" w:color="auto" w:fill="auto"/>
            <w:vAlign w:val="center"/>
          </w:tcPr>
          <w:p w14:paraId="6D74FA4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提高医疗卫生服务质量与水平</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28DAB6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0A4AE478">
            <w:pPr>
              <w:jc w:val="center"/>
              <w:rPr>
                <w:rFonts w:hint="eastAsia" w:ascii="宋体" w:hAnsi="宋体" w:eastAsia="宋体" w:cs="宋体"/>
                <w:i w:val="0"/>
                <w:iCs w:val="0"/>
                <w:color w:val="000000"/>
                <w:sz w:val="18"/>
                <w:szCs w:val="18"/>
                <w:u w:val="none"/>
              </w:rPr>
            </w:pPr>
          </w:p>
        </w:tc>
        <w:tc>
          <w:tcPr>
            <w:tcW w:w="289" w:type="pct"/>
            <w:tcBorders>
              <w:top w:val="single" w:color="000000" w:sz="4" w:space="0"/>
              <w:left w:val="single" w:color="000000" w:sz="4" w:space="0"/>
              <w:bottom w:val="nil"/>
              <w:right w:val="single" w:color="000000" w:sz="4" w:space="0"/>
            </w:tcBorders>
            <w:shd w:val="clear" w:color="auto" w:fill="auto"/>
            <w:vAlign w:val="center"/>
          </w:tcPr>
          <w:p w14:paraId="22314F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252E60A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提高</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B422E9C">
            <w:pPr>
              <w:jc w:val="center"/>
              <w:rPr>
                <w:rFonts w:hint="eastAsia" w:ascii="宋体" w:hAnsi="宋体" w:eastAsia="宋体" w:cs="宋体"/>
                <w:i w:val="0"/>
                <w:iCs w:val="0"/>
                <w:color w:val="000000"/>
                <w:sz w:val="18"/>
                <w:szCs w:val="18"/>
                <w:u w:val="none"/>
              </w:rPr>
            </w:pPr>
          </w:p>
        </w:tc>
        <w:tc>
          <w:tcPr>
            <w:tcW w:w="379" w:type="pct"/>
            <w:tcBorders>
              <w:top w:val="single" w:color="000000" w:sz="4" w:space="0"/>
              <w:left w:val="single" w:color="000000" w:sz="4" w:space="0"/>
              <w:bottom w:val="nil"/>
              <w:right w:val="single" w:color="000000" w:sz="4" w:space="0"/>
            </w:tcBorders>
            <w:shd w:val="clear" w:color="auto" w:fill="auto"/>
            <w:vAlign w:val="center"/>
          </w:tcPr>
          <w:p w14:paraId="3884F5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56C1E2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77FD0724">
            <w:pPr>
              <w:jc w:val="center"/>
              <w:rPr>
                <w:rFonts w:hint="eastAsia" w:ascii="宋体" w:hAnsi="宋体" w:eastAsia="宋体" w:cs="宋体"/>
                <w:i w:val="0"/>
                <w:iCs w:val="0"/>
                <w:color w:val="000000"/>
                <w:sz w:val="18"/>
                <w:szCs w:val="18"/>
                <w:u w:val="none"/>
              </w:rPr>
            </w:pPr>
          </w:p>
        </w:tc>
      </w:tr>
      <w:tr w14:paraId="43153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12E2FE66">
            <w:pPr>
              <w:jc w:val="center"/>
              <w:rPr>
                <w:rFonts w:hint="eastAsia" w:ascii="宋体" w:hAnsi="宋体" w:eastAsia="宋体" w:cs="宋体"/>
                <w:i w:val="0"/>
                <w:iCs w:val="0"/>
                <w:color w:val="000000"/>
                <w:sz w:val="18"/>
                <w:szCs w:val="18"/>
                <w:u w:val="none"/>
              </w:rPr>
            </w:pPr>
          </w:p>
        </w:tc>
        <w:tc>
          <w:tcPr>
            <w:tcW w:w="229" w:type="pct"/>
            <w:vMerge w:val="continue"/>
            <w:tcBorders>
              <w:top w:val="single" w:color="000000" w:sz="4" w:space="0"/>
              <w:left w:val="single" w:color="000000" w:sz="4" w:space="0"/>
              <w:bottom w:val="nil"/>
              <w:right w:val="single" w:color="000000" w:sz="4" w:space="0"/>
            </w:tcBorders>
            <w:shd w:val="clear" w:color="auto" w:fill="auto"/>
            <w:vAlign w:val="center"/>
          </w:tcPr>
          <w:p w14:paraId="0ABF0B92">
            <w:pPr>
              <w:jc w:val="center"/>
              <w:rPr>
                <w:rFonts w:hint="eastAsia" w:ascii="宋体" w:hAnsi="宋体" w:eastAsia="宋体" w:cs="宋体"/>
                <w:i w:val="0"/>
                <w:iCs w:val="0"/>
                <w:color w:val="000000"/>
                <w:sz w:val="18"/>
                <w:szCs w:val="18"/>
                <w:u w:val="none"/>
              </w:rPr>
            </w:pPr>
          </w:p>
        </w:tc>
        <w:tc>
          <w:tcPr>
            <w:tcW w:w="536" w:type="pct"/>
            <w:tcBorders>
              <w:top w:val="single" w:color="000000" w:sz="4" w:space="0"/>
              <w:left w:val="single" w:color="000000" w:sz="4" w:space="0"/>
              <w:bottom w:val="nil"/>
              <w:right w:val="single" w:color="000000" w:sz="4" w:space="0"/>
            </w:tcBorders>
            <w:shd w:val="clear" w:color="auto" w:fill="auto"/>
            <w:vAlign w:val="center"/>
          </w:tcPr>
          <w:p w14:paraId="510AE5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718CF75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确保医疗卫生队伍专业技术水平</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19BEC82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1C126112">
            <w:pPr>
              <w:jc w:val="center"/>
              <w:rPr>
                <w:rFonts w:hint="eastAsia" w:ascii="宋体" w:hAnsi="宋体" w:eastAsia="宋体" w:cs="宋体"/>
                <w:i w:val="0"/>
                <w:iCs w:val="0"/>
                <w:color w:val="000000"/>
                <w:sz w:val="18"/>
                <w:szCs w:val="18"/>
                <w:u w:val="none"/>
              </w:rPr>
            </w:pPr>
          </w:p>
        </w:tc>
        <w:tc>
          <w:tcPr>
            <w:tcW w:w="289" w:type="pct"/>
            <w:tcBorders>
              <w:top w:val="single" w:color="000000" w:sz="4" w:space="0"/>
              <w:left w:val="single" w:color="000000" w:sz="4" w:space="0"/>
              <w:bottom w:val="nil"/>
              <w:right w:val="single" w:color="000000" w:sz="4" w:space="0"/>
            </w:tcBorders>
            <w:shd w:val="clear" w:color="auto" w:fill="auto"/>
            <w:vAlign w:val="center"/>
          </w:tcPr>
          <w:p w14:paraId="1A34C58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42B9204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确保</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0F994E9E">
            <w:pPr>
              <w:jc w:val="center"/>
              <w:rPr>
                <w:rFonts w:hint="eastAsia" w:ascii="宋体" w:hAnsi="宋体" w:eastAsia="宋体" w:cs="宋体"/>
                <w:i w:val="0"/>
                <w:iCs w:val="0"/>
                <w:color w:val="000000"/>
                <w:sz w:val="18"/>
                <w:szCs w:val="18"/>
                <w:u w:val="none"/>
              </w:rPr>
            </w:pPr>
          </w:p>
        </w:tc>
        <w:tc>
          <w:tcPr>
            <w:tcW w:w="379" w:type="pct"/>
            <w:tcBorders>
              <w:top w:val="single" w:color="000000" w:sz="4" w:space="0"/>
              <w:left w:val="single" w:color="000000" w:sz="4" w:space="0"/>
              <w:bottom w:val="nil"/>
              <w:right w:val="single" w:color="000000" w:sz="4" w:space="0"/>
            </w:tcBorders>
            <w:shd w:val="clear" w:color="auto" w:fill="auto"/>
            <w:vAlign w:val="center"/>
          </w:tcPr>
          <w:p w14:paraId="0BED07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63F908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6279598D">
            <w:pPr>
              <w:jc w:val="center"/>
              <w:rPr>
                <w:rFonts w:hint="eastAsia" w:ascii="宋体" w:hAnsi="宋体" w:eastAsia="宋体" w:cs="宋体"/>
                <w:i w:val="0"/>
                <w:iCs w:val="0"/>
                <w:color w:val="000000"/>
                <w:sz w:val="18"/>
                <w:szCs w:val="18"/>
                <w:u w:val="none"/>
              </w:rPr>
            </w:pPr>
          </w:p>
        </w:tc>
      </w:tr>
      <w:tr w14:paraId="60B9C9A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216" w:type="pct"/>
            <w:vMerge w:val="continue"/>
            <w:tcBorders>
              <w:top w:val="single" w:color="000000" w:sz="4" w:space="0"/>
              <w:left w:val="single" w:color="000000" w:sz="4" w:space="0"/>
              <w:bottom w:val="nil"/>
              <w:right w:val="single" w:color="000000" w:sz="4" w:space="0"/>
            </w:tcBorders>
            <w:shd w:val="clear" w:color="auto" w:fill="auto"/>
            <w:vAlign w:val="center"/>
          </w:tcPr>
          <w:p w14:paraId="07562558">
            <w:pPr>
              <w:jc w:val="center"/>
              <w:rPr>
                <w:rFonts w:hint="eastAsia" w:ascii="宋体" w:hAnsi="宋体" w:eastAsia="宋体" w:cs="宋体"/>
                <w:i w:val="0"/>
                <w:iCs w:val="0"/>
                <w:color w:val="000000"/>
                <w:sz w:val="18"/>
                <w:szCs w:val="18"/>
                <w:u w:val="none"/>
              </w:rPr>
            </w:pPr>
          </w:p>
        </w:tc>
        <w:tc>
          <w:tcPr>
            <w:tcW w:w="229" w:type="pct"/>
            <w:tcBorders>
              <w:top w:val="single" w:color="000000" w:sz="4" w:space="0"/>
              <w:left w:val="single" w:color="000000" w:sz="4" w:space="0"/>
              <w:bottom w:val="nil"/>
              <w:right w:val="single" w:color="000000" w:sz="4" w:space="0"/>
            </w:tcBorders>
            <w:shd w:val="clear" w:color="auto" w:fill="auto"/>
            <w:vAlign w:val="center"/>
          </w:tcPr>
          <w:p w14:paraId="4FBAB6E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536" w:type="pct"/>
            <w:tcBorders>
              <w:top w:val="single" w:color="000000" w:sz="4" w:space="0"/>
              <w:left w:val="single" w:color="000000" w:sz="4" w:space="0"/>
              <w:bottom w:val="nil"/>
              <w:right w:val="single" w:color="000000" w:sz="4" w:space="0"/>
            </w:tcBorders>
            <w:shd w:val="clear" w:color="auto" w:fill="auto"/>
            <w:vAlign w:val="center"/>
          </w:tcPr>
          <w:p w14:paraId="0F4BAC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623" w:type="pct"/>
            <w:tcBorders>
              <w:top w:val="single" w:color="000000" w:sz="4" w:space="0"/>
              <w:left w:val="single" w:color="000000" w:sz="4" w:space="0"/>
              <w:bottom w:val="nil"/>
              <w:right w:val="single" w:color="000000" w:sz="4" w:space="0"/>
            </w:tcBorders>
            <w:shd w:val="clear" w:color="auto" w:fill="auto"/>
            <w:vAlign w:val="center"/>
          </w:tcPr>
          <w:p w14:paraId="4BAA9F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考生满意度</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3186467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410" w:type="pct"/>
            <w:tcBorders>
              <w:top w:val="single" w:color="000000" w:sz="4" w:space="0"/>
              <w:left w:val="single" w:color="000000" w:sz="4" w:space="0"/>
              <w:bottom w:val="nil"/>
              <w:right w:val="single" w:color="000000" w:sz="4" w:space="0"/>
            </w:tcBorders>
            <w:shd w:val="clear" w:color="auto" w:fill="auto"/>
            <w:vAlign w:val="center"/>
          </w:tcPr>
          <w:p w14:paraId="6142AE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89" w:type="pct"/>
            <w:tcBorders>
              <w:top w:val="single" w:color="000000" w:sz="4" w:space="0"/>
              <w:left w:val="single" w:color="000000" w:sz="4" w:space="0"/>
              <w:bottom w:val="nil"/>
              <w:right w:val="single" w:color="000000" w:sz="4" w:space="0"/>
            </w:tcBorders>
            <w:shd w:val="clear" w:color="auto" w:fill="auto"/>
            <w:vAlign w:val="center"/>
          </w:tcPr>
          <w:p w14:paraId="6DEA22A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w:t>
            </w:r>
          </w:p>
        </w:tc>
        <w:tc>
          <w:tcPr>
            <w:tcW w:w="463" w:type="pct"/>
            <w:tcBorders>
              <w:top w:val="single" w:color="000000" w:sz="4" w:space="0"/>
              <w:left w:val="single" w:color="000000" w:sz="4" w:space="0"/>
              <w:bottom w:val="nil"/>
              <w:right w:val="single" w:color="000000" w:sz="4" w:space="0"/>
            </w:tcBorders>
            <w:shd w:val="clear" w:color="auto" w:fill="auto"/>
            <w:vAlign w:val="center"/>
          </w:tcPr>
          <w:p w14:paraId="2AFD6D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90.00</w:t>
            </w:r>
          </w:p>
        </w:tc>
        <w:tc>
          <w:tcPr>
            <w:tcW w:w="403" w:type="pct"/>
            <w:tcBorders>
              <w:top w:val="single" w:color="000000" w:sz="4" w:space="0"/>
              <w:left w:val="single" w:color="000000" w:sz="4" w:space="0"/>
              <w:bottom w:val="nil"/>
              <w:right w:val="single" w:color="000000" w:sz="4" w:space="0"/>
            </w:tcBorders>
            <w:shd w:val="clear" w:color="auto" w:fill="auto"/>
            <w:vAlign w:val="center"/>
          </w:tcPr>
          <w:p w14:paraId="5731CD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79" w:type="pct"/>
            <w:tcBorders>
              <w:top w:val="single" w:color="000000" w:sz="4" w:space="0"/>
              <w:left w:val="single" w:color="000000" w:sz="4" w:space="0"/>
              <w:bottom w:val="nil"/>
              <w:right w:val="single" w:color="000000" w:sz="4" w:space="0"/>
            </w:tcBorders>
            <w:shd w:val="clear" w:color="auto" w:fill="auto"/>
            <w:vAlign w:val="center"/>
          </w:tcPr>
          <w:p w14:paraId="77B84A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67" w:type="pct"/>
            <w:tcBorders>
              <w:top w:val="single" w:color="000000" w:sz="4" w:space="0"/>
              <w:left w:val="single" w:color="000000" w:sz="4" w:space="0"/>
              <w:bottom w:val="nil"/>
              <w:right w:val="single" w:color="000000" w:sz="4" w:space="0"/>
            </w:tcBorders>
            <w:shd w:val="clear" w:color="auto" w:fill="auto"/>
            <w:vAlign w:val="center"/>
          </w:tcPr>
          <w:p w14:paraId="1E4A8C2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75" w:type="pct"/>
            <w:tcBorders>
              <w:top w:val="single" w:color="000000" w:sz="4" w:space="0"/>
              <w:left w:val="single" w:color="000000" w:sz="4" w:space="0"/>
              <w:bottom w:val="nil"/>
              <w:right w:val="single" w:color="000000" w:sz="4" w:space="0"/>
            </w:tcBorders>
            <w:shd w:val="clear" w:color="auto" w:fill="auto"/>
            <w:vAlign w:val="center"/>
          </w:tcPr>
          <w:p w14:paraId="49AAEAF4">
            <w:pPr>
              <w:jc w:val="center"/>
              <w:rPr>
                <w:rFonts w:hint="eastAsia" w:ascii="宋体" w:hAnsi="宋体" w:eastAsia="宋体" w:cs="宋体"/>
                <w:i w:val="0"/>
                <w:iCs w:val="0"/>
                <w:color w:val="000000"/>
                <w:sz w:val="18"/>
                <w:szCs w:val="18"/>
                <w:u w:val="none"/>
              </w:rPr>
            </w:pPr>
          </w:p>
        </w:tc>
      </w:tr>
      <w:tr w14:paraId="164BD5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77"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697768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37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88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6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6DD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93.60</w:t>
            </w:r>
          </w:p>
        </w:tc>
        <w:tc>
          <w:tcPr>
            <w:tcW w:w="67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80ED3">
            <w:pPr>
              <w:jc w:val="center"/>
              <w:rPr>
                <w:rFonts w:hint="eastAsia" w:ascii="宋体" w:hAnsi="宋体" w:eastAsia="宋体" w:cs="宋体"/>
                <w:i w:val="0"/>
                <w:iCs w:val="0"/>
                <w:color w:val="000000"/>
                <w:sz w:val="18"/>
                <w:szCs w:val="18"/>
                <w:u w:val="none"/>
              </w:rPr>
            </w:pPr>
          </w:p>
        </w:tc>
      </w:tr>
    </w:tbl>
    <w:p w14:paraId="4B562961">
      <w:pPr>
        <w:widowControl/>
        <w:spacing w:before="240" w:after="240"/>
        <w:ind w:firstLine="540" w:firstLineChars="200"/>
        <w:jc w:val="left"/>
        <w:rPr>
          <w:rFonts w:hint="default" w:ascii="Times New Roman" w:hAnsi="Times New Roman" w:eastAsia="kai_ti_gb2312" w:cs="Times New Roman"/>
          <w:b/>
          <w:bCs/>
          <w:kern w:val="0"/>
          <w:sz w:val="27"/>
          <w:szCs w:val="27"/>
          <w:u w:val="none" w:color="auto"/>
        </w:rPr>
      </w:pPr>
    </w:p>
    <w:tbl>
      <w:tblPr>
        <w:tblStyle w:val="1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97"/>
        <w:gridCol w:w="435"/>
        <w:gridCol w:w="1064"/>
        <w:gridCol w:w="1508"/>
        <w:gridCol w:w="706"/>
        <w:gridCol w:w="749"/>
        <w:gridCol w:w="576"/>
        <w:gridCol w:w="966"/>
        <w:gridCol w:w="739"/>
        <w:gridCol w:w="683"/>
        <w:gridCol w:w="671"/>
        <w:gridCol w:w="1462"/>
      </w:tblGrid>
      <w:tr w14:paraId="77B612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5000" w:type="pct"/>
            <w:gridSpan w:val="12"/>
            <w:tcBorders>
              <w:top w:val="single" w:color="000000" w:sz="4" w:space="0"/>
              <w:left w:val="single" w:color="000000" w:sz="4" w:space="0"/>
              <w:bottom w:val="single" w:color="000000" w:sz="4" w:space="0"/>
              <w:right w:val="single" w:color="000000" w:sz="4" w:space="0"/>
            </w:tcBorders>
            <w:shd w:val="clear" w:color="auto" w:fill="auto"/>
            <w:vAlign w:val="center"/>
          </w:tcPr>
          <w:p w14:paraId="16175CA4">
            <w:pPr>
              <w:keepNext w:val="0"/>
              <w:keepLines w:val="0"/>
              <w:widowControl/>
              <w:suppressLineNumbers w:val="0"/>
              <w:jc w:val="center"/>
              <w:textAlignment w:val="center"/>
              <w:rPr>
                <w:rFonts w:hint="eastAsia" w:ascii="宋体" w:hAnsi="宋体" w:eastAsia="宋体" w:cs="宋体"/>
                <w:b/>
                <w:bCs/>
                <w:i w:val="0"/>
                <w:iCs w:val="0"/>
                <w:color w:val="000000"/>
                <w:sz w:val="40"/>
                <w:szCs w:val="40"/>
                <w:u w:val="none"/>
              </w:rPr>
            </w:pPr>
            <w:r>
              <w:rPr>
                <w:rFonts w:hint="eastAsia" w:ascii="宋体" w:hAnsi="宋体" w:eastAsia="宋体" w:cs="宋体"/>
                <w:b/>
                <w:bCs/>
                <w:i w:val="0"/>
                <w:iCs w:val="0"/>
                <w:color w:val="000000"/>
                <w:kern w:val="0"/>
                <w:sz w:val="40"/>
                <w:szCs w:val="40"/>
                <w:u w:val="none"/>
                <w:lang w:val="en-US" w:eastAsia="zh-CN" w:bidi="ar"/>
              </w:rPr>
              <w:t>项目支出绩效自评表</w:t>
            </w:r>
            <w:r>
              <w:rPr>
                <w:rFonts w:hint="eastAsia" w:ascii="宋体" w:hAnsi="宋体" w:eastAsia="宋体" w:cs="宋体"/>
                <w:b/>
                <w:bCs/>
                <w:i w:val="0"/>
                <w:iCs w:val="0"/>
                <w:color w:val="000000"/>
                <w:kern w:val="0"/>
                <w:sz w:val="40"/>
                <w:szCs w:val="40"/>
                <w:u w:val="none"/>
                <w:lang w:val="en-US" w:eastAsia="zh-CN" w:bidi="ar"/>
              </w:rPr>
              <w:br w:type="textWrapping"/>
            </w:r>
            <w:r>
              <w:rPr>
                <w:rFonts w:hint="eastAsia" w:ascii="宋体" w:hAnsi="宋体" w:eastAsia="宋体" w:cs="宋体"/>
                <w:b/>
                <w:bCs/>
                <w:i w:val="0"/>
                <w:iCs w:val="0"/>
                <w:color w:val="000000"/>
                <w:kern w:val="0"/>
                <w:sz w:val="40"/>
                <w:szCs w:val="40"/>
                <w:u w:val="none"/>
                <w:lang w:val="en-US" w:eastAsia="zh-CN" w:bidi="ar"/>
              </w:rPr>
              <w:t>(2024年度）</w:t>
            </w:r>
          </w:p>
        </w:tc>
      </w:tr>
      <w:tr w14:paraId="380FF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FFECD9">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项目名称</w:t>
            </w:r>
          </w:p>
        </w:tc>
        <w:tc>
          <w:tcPr>
            <w:tcW w:w="4572" w:type="pct"/>
            <w:gridSpan w:val="10"/>
            <w:tcBorders>
              <w:top w:val="single" w:color="000000" w:sz="4" w:space="0"/>
              <w:left w:val="single" w:color="000000" w:sz="4" w:space="0"/>
              <w:bottom w:val="single" w:color="000000" w:sz="4" w:space="0"/>
              <w:right w:val="single" w:color="000000" w:sz="4" w:space="0"/>
            </w:tcBorders>
            <w:shd w:val="clear" w:color="auto" w:fill="auto"/>
            <w:vAlign w:val="center"/>
          </w:tcPr>
          <w:p w14:paraId="0CD8C724">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2024年市级人才工作专项资金</w:t>
            </w:r>
          </w:p>
        </w:tc>
      </w:tr>
      <w:tr w14:paraId="79BB6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 w:hRule="atLeast"/>
        </w:trPr>
        <w:tc>
          <w:tcPr>
            <w:tcW w:w="42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FD05F8">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主管部门</w:t>
            </w:r>
          </w:p>
        </w:tc>
        <w:tc>
          <w:tcPr>
            <w:tcW w:w="204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46D986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鄂尔多斯市卫生健康委员会（鄂尔多斯市中医药管理局）（部门）</w:t>
            </w:r>
          </w:p>
        </w:tc>
        <w:tc>
          <w:tcPr>
            <w:tcW w:w="7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88D5564">
            <w:pPr>
              <w:keepNext w:val="0"/>
              <w:keepLines w:val="0"/>
              <w:widowControl/>
              <w:suppressLineNumbers w:val="0"/>
              <w:jc w:val="righ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实施单位</w:t>
            </w:r>
          </w:p>
        </w:tc>
        <w:tc>
          <w:tcPr>
            <w:tcW w:w="1800"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2F204C4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鄂尔多斯市卫生健康委员会（鄂尔多斯市中医药管理局）</w:t>
            </w:r>
          </w:p>
        </w:tc>
      </w:tr>
      <w:tr w14:paraId="7755D6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7D193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项目资金</w:t>
            </w:r>
            <w:r>
              <w:rPr>
                <w:rFonts w:hint="eastAsia" w:ascii="宋体" w:hAnsi="宋体" w:eastAsia="宋体" w:cs="宋体"/>
                <w:i w:val="0"/>
                <w:iCs w:val="0"/>
                <w:color w:val="000000"/>
                <w:kern w:val="0"/>
                <w:sz w:val="18"/>
                <w:szCs w:val="18"/>
                <w:u w:val="none"/>
                <w:lang w:val="en-US" w:eastAsia="zh-CN" w:bidi="ar"/>
              </w:rPr>
              <w:br w:type="textWrapping"/>
            </w:r>
            <w:r>
              <w:rPr>
                <w:rFonts w:hint="eastAsia" w:ascii="宋体" w:hAnsi="宋体" w:eastAsia="宋体" w:cs="宋体"/>
                <w:i w:val="0"/>
                <w:iCs w:val="0"/>
                <w:color w:val="000000"/>
                <w:kern w:val="0"/>
                <w:sz w:val="18"/>
                <w:szCs w:val="18"/>
                <w:u w:val="none"/>
                <w:lang w:val="en-US" w:eastAsia="zh-CN" w:bidi="ar"/>
              </w:rPr>
              <w:t>（万元）</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484F1D">
            <w:pP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F5B4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年初预算数</w:t>
            </w:r>
          </w:p>
        </w:tc>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980DF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全年预算数</w:t>
            </w:r>
          </w:p>
        </w:tc>
        <w:tc>
          <w:tcPr>
            <w:tcW w:w="7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772195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全年执行数</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8D04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6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6302D7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执行率（%）</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1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r>
      <w:tr w14:paraId="0DB2C8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42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704FC78">
            <w:pPr>
              <w:jc w:val="center"/>
              <w:rPr>
                <w:rFonts w:hint="eastAsia" w:ascii="宋体" w:hAnsi="宋体" w:eastAsia="宋体" w:cs="宋体"/>
                <w:i w:val="0"/>
                <w:iCs w:val="0"/>
                <w:color w:val="000000"/>
                <w:sz w:val="18"/>
                <w:szCs w:val="18"/>
                <w:u w:val="none"/>
              </w:rPr>
            </w:pP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6134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年度资金总额</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A7E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190D4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DB04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3A755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6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4974AE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831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r>
      <w:tr w14:paraId="405DC6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CBCD4F9">
            <w:pPr>
              <w:jc w:val="center"/>
              <w:rPr>
                <w:rFonts w:hint="eastAsia" w:ascii="宋体" w:hAnsi="宋体" w:eastAsia="宋体" w:cs="宋体"/>
                <w:i w:val="0"/>
                <w:iCs w:val="0"/>
                <w:color w:val="000000"/>
                <w:sz w:val="18"/>
                <w:szCs w:val="18"/>
                <w:u w:val="none"/>
              </w:rPr>
            </w:pP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3520F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其中：财政拨款</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8D3E5">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D72B0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8AFCE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6EE241C5">
            <w:pPr>
              <w:keepNext w:val="0"/>
              <w:keepLines w:val="0"/>
              <w:widowControl/>
              <w:suppressLineNumbers w:val="0"/>
              <w:jc w:val="center"/>
              <w:textAlignment w:val="center"/>
              <w:rPr>
                <w:rFonts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2C4766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w:t>
            </w:r>
          </w:p>
        </w:tc>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41B849">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71C2F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35F1A2">
            <w:pPr>
              <w:jc w:val="center"/>
              <w:rPr>
                <w:rFonts w:hint="eastAsia" w:ascii="宋体" w:hAnsi="宋体" w:eastAsia="宋体" w:cs="宋体"/>
                <w:i w:val="0"/>
                <w:iCs w:val="0"/>
                <w:color w:val="000000"/>
                <w:sz w:val="18"/>
                <w:szCs w:val="18"/>
                <w:u w:val="none"/>
              </w:rPr>
            </w:pP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7C3B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上年结转资金</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3D1694">
            <w:pPr>
              <w:rPr>
                <w:rFonts w:hint="eastAsia" w:ascii="宋体" w:hAnsi="宋体" w:eastAsia="宋体" w:cs="宋体"/>
                <w:i w:val="0"/>
                <w:iCs w:val="0"/>
                <w:color w:val="000000"/>
                <w:sz w:val="18"/>
                <w:szCs w:val="18"/>
                <w:u w:val="none"/>
              </w:rPr>
            </w:pPr>
          </w:p>
        </w:tc>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C5D4297">
            <w:pPr>
              <w:jc w:val="center"/>
              <w:rPr>
                <w:rFonts w:hint="eastAsia" w:ascii="宋体" w:hAnsi="宋体" w:eastAsia="宋体" w:cs="宋体"/>
                <w:i w:val="0"/>
                <w:iCs w:val="0"/>
                <w:color w:val="000000"/>
                <w:sz w:val="18"/>
                <w:szCs w:val="18"/>
                <w:u w:val="none"/>
              </w:rPr>
            </w:pPr>
          </w:p>
        </w:tc>
        <w:tc>
          <w:tcPr>
            <w:tcW w:w="7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5EEBC070">
            <w:pPr>
              <w:jc w:val="center"/>
              <w:rPr>
                <w:rFonts w:hint="eastAsia" w:ascii="宋体" w:hAnsi="宋体" w:eastAsia="宋体" w:cs="宋体"/>
                <w:i w:val="0"/>
                <w:iCs w:val="0"/>
                <w:color w:val="000000"/>
                <w:sz w:val="18"/>
                <w:szCs w:val="18"/>
                <w:u w:val="none"/>
              </w:rPr>
            </w:pP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AF4D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B93DF26">
            <w:pPr>
              <w:jc w:val="center"/>
              <w:rPr>
                <w:rFonts w:hint="eastAsia" w:ascii="宋体" w:hAnsi="宋体" w:eastAsia="宋体" w:cs="宋体"/>
                <w:i w:val="0"/>
                <w:iCs w:val="0"/>
                <w:color w:val="000000"/>
                <w:sz w:val="18"/>
                <w:szCs w:val="18"/>
                <w:u w:val="none"/>
              </w:rPr>
            </w:pPr>
          </w:p>
        </w:tc>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9D8986">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F7666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4722A2E">
            <w:pPr>
              <w:jc w:val="center"/>
              <w:rPr>
                <w:rFonts w:hint="eastAsia" w:ascii="宋体" w:hAnsi="宋体" w:eastAsia="宋体" w:cs="宋体"/>
                <w:i w:val="0"/>
                <w:iCs w:val="0"/>
                <w:color w:val="000000"/>
                <w:sz w:val="18"/>
                <w:szCs w:val="18"/>
                <w:u w:val="none"/>
              </w:rPr>
            </w:pP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BA971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其他资金</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7D586E">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6302C0D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1"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22C47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DB74">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c>
          <w:tcPr>
            <w:tcW w:w="68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CA76100">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BA8A17">
            <w:pPr>
              <w:keepNext w:val="0"/>
              <w:keepLines w:val="0"/>
              <w:widowControl/>
              <w:suppressLineNumbers w:val="0"/>
              <w:jc w:val="center"/>
              <w:textAlignment w:val="center"/>
              <w:rPr>
                <w:rFonts w:hint="default" w:ascii="Arial" w:hAnsi="Arial" w:eastAsia="宋体" w:cs="Arial"/>
                <w:i w:val="0"/>
                <w:iCs w:val="0"/>
                <w:color w:val="222222"/>
                <w:sz w:val="19"/>
                <w:szCs w:val="19"/>
                <w:u w:val="none"/>
              </w:rPr>
            </w:pPr>
            <w:r>
              <w:rPr>
                <w:rFonts w:hint="default" w:ascii="Arial" w:hAnsi="Arial" w:eastAsia="宋体" w:cs="Arial"/>
                <w:i w:val="0"/>
                <w:iCs w:val="0"/>
                <w:color w:val="222222"/>
                <w:kern w:val="0"/>
                <w:sz w:val="19"/>
                <w:szCs w:val="19"/>
                <w:u w:val="none"/>
                <w:lang w:val="en-US" w:eastAsia="zh-CN" w:bidi="ar"/>
              </w:rPr>
              <w:t>——</w:t>
            </w:r>
          </w:p>
        </w:tc>
      </w:tr>
      <w:tr w14:paraId="324910F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427" w:type="pct"/>
            <w:gridSpan w:val="2"/>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236824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年度总体目标</w:t>
            </w:r>
          </w:p>
        </w:tc>
        <w:tc>
          <w:tcPr>
            <w:tcW w:w="228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217FEC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预期目标</w:t>
            </w:r>
          </w:p>
        </w:tc>
        <w:tc>
          <w:tcPr>
            <w:tcW w:w="22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3437B4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实际完成情况</w:t>
            </w:r>
          </w:p>
        </w:tc>
      </w:tr>
      <w:tr w14:paraId="36ED8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20" w:hRule="atLeast"/>
        </w:trPr>
        <w:tc>
          <w:tcPr>
            <w:tcW w:w="427" w:type="pct"/>
            <w:gridSpan w:val="2"/>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62CC74">
            <w:pPr>
              <w:jc w:val="center"/>
              <w:rPr>
                <w:rFonts w:hint="eastAsia" w:ascii="宋体" w:hAnsi="宋体" w:eastAsia="宋体" w:cs="宋体"/>
                <w:i w:val="0"/>
                <w:iCs w:val="0"/>
                <w:color w:val="000000"/>
                <w:sz w:val="18"/>
                <w:szCs w:val="18"/>
                <w:u w:val="none"/>
              </w:rPr>
            </w:pPr>
          </w:p>
        </w:tc>
        <w:tc>
          <w:tcPr>
            <w:tcW w:w="2283"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76FF0E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保障单位日常运转，提高预算编制质量，严格执行预算</w:t>
            </w:r>
          </w:p>
        </w:tc>
        <w:tc>
          <w:tcPr>
            <w:tcW w:w="2289" w:type="pct"/>
            <w:gridSpan w:val="5"/>
            <w:tcBorders>
              <w:top w:val="single" w:color="000000" w:sz="4" w:space="0"/>
              <w:left w:val="single" w:color="000000" w:sz="4" w:space="0"/>
              <w:bottom w:val="single" w:color="000000" w:sz="4" w:space="0"/>
              <w:right w:val="single" w:color="000000" w:sz="4" w:space="0"/>
            </w:tcBorders>
            <w:shd w:val="clear" w:color="auto" w:fill="auto"/>
            <w:vAlign w:val="center"/>
          </w:tcPr>
          <w:p w14:paraId="32A1634F">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一是结合实际出台《鄂尔多斯市直属医疗卫生机构高层次人才和紧缺专业人才引进培养专项支持计划实施办法》，为我市卫生人才工作提供更具针对性的人才政策。二是通过“绿色通道”、公开招聘和“走出去”的方式引进紧缺卫生人才，2024年全市卫生系统共引进高层次卫生人才117名，公开招聘1035名医疗卫生技术人员。三是加强与市外高层次人才团队合作力度。坚持柔性引才，长期引进市外知名专家及团队，同时加大与市外高等医学院校合作，加强我市人才培养和学科建设。2024年市直公立医院通过柔性引进团队10个，专家238人，建设1个院士工作站、1个博士工作站，5个国内著名教授专家名医工作室。四是积极组织各类人才项目推荐申报工作。全市医疗卫生机构9人入选自治区“英才兴蒙”工程名单;市中心医院1人获批自治区人才开发基金项目，2人入选自治区留学人员创新创业启动支持计划；全市13人入选鄂尔多斯市高层次人才；1个团队入选市产业创新创业团队。推荐市级人才认定21人。</w:t>
            </w:r>
          </w:p>
        </w:tc>
      </w:tr>
      <w:tr w14:paraId="641F97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6860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2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009E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一级指标</w:t>
            </w:r>
          </w:p>
        </w:tc>
        <w:tc>
          <w:tcPr>
            <w:tcW w:w="5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1EA6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二级指标</w:t>
            </w:r>
          </w:p>
        </w:tc>
        <w:tc>
          <w:tcPr>
            <w:tcW w:w="7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4A3CD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三级指标</w:t>
            </w:r>
          </w:p>
        </w:tc>
        <w:tc>
          <w:tcPr>
            <w:tcW w:w="35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90F2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指标性质</w:t>
            </w:r>
          </w:p>
        </w:tc>
        <w:tc>
          <w:tcPr>
            <w:tcW w:w="37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C798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指标方向</w:t>
            </w:r>
          </w:p>
        </w:tc>
        <w:tc>
          <w:tcPr>
            <w:tcW w:w="24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D9C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年度指标值</w:t>
            </w:r>
          </w:p>
        </w:tc>
        <w:tc>
          <w:tcPr>
            <w:tcW w:w="4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412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实际完成值</w:t>
            </w:r>
          </w:p>
        </w:tc>
        <w:tc>
          <w:tcPr>
            <w:tcW w:w="37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F04AD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计量单位</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85CA2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分值</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B17D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得分</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37D4C">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偏差原因分析及改进措施</w:t>
            </w:r>
          </w:p>
        </w:tc>
      </w:tr>
      <w:tr w14:paraId="3503A6A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204" w:type="pct"/>
            <w:vMerge w:val="restart"/>
            <w:tcBorders>
              <w:top w:val="single" w:color="000000" w:sz="4" w:space="0"/>
              <w:left w:val="single" w:color="000000" w:sz="4" w:space="0"/>
              <w:bottom w:val="nil"/>
              <w:right w:val="single" w:color="000000" w:sz="4" w:space="0"/>
            </w:tcBorders>
            <w:shd w:val="clear" w:color="auto" w:fill="auto"/>
            <w:vAlign w:val="center"/>
          </w:tcPr>
          <w:p w14:paraId="1599AD0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绩效指标</w:t>
            </w:r>
          </w:p>
        </w:tc>
        <w:tc>
          <w:tcPr>
            <w:tcW w:w="222" w:type="pct"/>
            <w:vMerge w:val="restart"/>
            <w:tcBorders>
              <w:top w:val="single" w:color="000000" w:sz="4" w:space="0"/>
              <w:left w:val="single" w:color="000000" w:sz="4" w:space="0"/>
              <w:bottom w:val="nil"/>
              <w:right w:val="single" w:color="000000" w:sz="4" w:space="0"/>
            </w:tcBorders>
            <w:shd w:val="clear" w:color="auto" w:fill="auto"/>
            <w:vAlign w:val="center"/>
          </w:tcPr>
          <w:p w14:paraId="664A543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产出指标</w:t>
            </w:r>
          </w:p>
        </w:tc>
        <w:tc>
          <w:tcPr>
            <w:tcW w:w="539" w:type="pct"/>
            <w:vMerge w:val="restart"/>
            <w:tcBorders>
              <w:top w:val="single" w:color="000000" w:sz="4" w:space="0"/>
              <w:left w:val="single" w:color="000000" w:sz="4" w:space="0"/>
              <w:bottom w:val="nil"/>
              <w:right w:val="single" w:color="000000" w:sz="4" w:space="0"/>
            </w:tcBorders>
            <w:shd w:val="clear" w:color="auto" w:fill="auto"/>
            <w:vAlign w:val="center"/>
          </w:tcPr>
          <w:p w14:paraId="4D948A3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数量指标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66C7510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人才慰问人数</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5AC17B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582B5B9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706D81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277FBD6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F6CDF4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2D38AA4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4B40429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34C7DC7E">
            <w:pPr>
              <w:jc w:val="left"/>
              <w:rPr>
                <w:rFonts w:hint="eastAsia" w:ascii="宋体" w:hAnsi="宋体" w:eastAsia="宋体" w:cs="宋体"/>
                <w:i w:val="0"/>
                <w:iCs w:val="0"/>
                <w:color w:val="000000"/>
                <w:sz w:val="18"/>
                <w:szCs w:val="18"/>
                <w:u w:val="none"/>
              </w:rPr>
            </w:pPr>
          </w:p>
        </w:tc>
      </w:tr>
      <w:tr w14:paraId="55C2AD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14A8D528">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417E2C2F">
            <w:pPr>
              <w:jc w:val="center"/>
              <w:rPr>
                <w:rFonts w:hint="eastAsia" w:ascii="宋体" w:hAnsi="宋体" w:eastAsia="宋体" w:cs="宋体"/>
                <w:i w:val="0"/>
                <w:iCs w:val="0"/>
                <w:color w:val="000000"/>
                <w:sz w:val="18"/>
                <w:szCs w:val="18"/>
                <w:u w:val="none"/>
              </w:rPr>
            </w:pPr>
          </w:p>
        </w:tc>
        <w:tc>
          <w:tcPr>
            <w:tcW w:w="539" w:type="pct"/>
            <w:vMerge w:val="continue"/>
            <w:tcBorders>
              <w:top w:val="single" w:color="000000" w:sz="4" w:space="0"/>
              <w:left w:val="single" w:color="000000" w:sz="4" w:space="0"/>
              <w:bottom w:val="nil"/>
              <w:right w:val="single" w:color="000000" w:sz="4" w:space="0"/>
            </w:tcBorders>
            <w:shd w:val="clear" w:color="auto" w:fill="auto"/>
            <w:vAlign w:val="center"/>
          </w:tcPr>
          <w:p w14:paraId="3F120D57">
            <w:pPr>
              <w:jc w:val="cente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nil"/>
              <w:right w:val="single" w:color="000000" w:sz="4" w:space="0"/>
            </w:tcBorders>
            <w:shd w:val="clear" w:color="auto" w:fill="auto"/>
            <w:vAlign w:val="center"/>
          </w:tcPr>
          <w:p w14:paraId="797D87C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考察调研次数</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4BFD489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4F85863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5259F00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23BF83F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4AAFC6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次</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3102EEB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5EDC1E1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4EC77570">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本年度考察任务未执行。</w:t>
            </w:r>
          </w:p>
        </w:tc>
      </w:tr>
      <w:tr w14:paraId="5DAC6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29C12110">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70DFEB29">
            <w:pPr>
              <w:jc w:val="center"/>
              <w:rPr>
                <w:rFonts w:hint="eastAsia" w:ascii="宋体" w:hAnsi="宋体" w:eastAsia="宋体" w:cs="宋体"/>
                <w:i w:val="0"/>
                <w:iCs w:val="0"/>
                <w:color w:val="000000"/>
                <w:sz w:val="18"/>
                <w:szCs w:val="18"/>
                <w:u w:val="none"/>
              </w:rPr>
            </w:pPr>
          </w:p>
        </w:tc>
        <w:tc>
          <w:tcPr>
            <w:tcW w:w="539" w:type="pct"/>
            <w:vMerge w:val="continue"/>
            <w:tcBorders>
              <w:top w:val="single" w:color="000000" w:sz="4" w:space="0"/>
              <w:left w:val="single" w:color="000000" w:sz="4" w:space="0"/>
              <w:bottom w:val="nil"/>
              <w:right w:val="single" w:color="000000" w:sz="4" w:space="0"/>
            </w:tcBorders>
            <w:shd w:val="clear" w:color="auto" w:fill="auto"/>
            <w:vAlign w:val="center"/>
          </w:tcPr>
          <w:p w14:paraId="70B21C4A">
            <w:pPr>
              <w:jc w:val="cente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nil"/>
              <w:right w:val="single" w:color="000000" w:sz="4" w:space="0"/>
            </w:tcBorders>
            <w:shd w:val="clear" w:color="auto" w:fill="auto"/>
            <w:vAlign w:val="center"/>
          </w:tcPr>
          <w:p w14:paraId="59AD8886">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评审专家数</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2C447FE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64188FC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03F88F7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4</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35B35BA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C5770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名</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69237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43746B7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6922D45B">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本年度未支出专家评审费用。</w:t>
            </w:r>
          </w:p>
        </w:tc>
      </w:tr>
      <w:tr w14:paraId="289301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38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795ADF68">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24C0D8A7">
            <w:pPr>
              <w:jc w:val="center"/>
              <w:rPr>
                <w:rFonts w:hint="eastAsia" w:ascii="宋体" w:hAnsi="宋体" w:eastAsia="宋体" w:cs="宋体"/>
                <w:i w:val="0"/>
                <w:iCs w:val="0"/>
                <w:color w:val="000000"/>
                <w:sz w:val="18"/>
                <w:szCs w:val="18"/>
                <w:u w:val="none"/>
              </w:rPr>
            </w:pPr>
          </w:p>
        </w:tc>
        <w:tc>
          <w:tcPr>
            <w:tcW w:w="539" w:type="pct"/>
            <w:vMerge w:val="restart"/>
            <w:tcBorders>
              <w:top w:val="single" w:color="000000" w:sz="4" w:space="0"/>
              <w:left w:val="single" w:color="000000" w:sz="4" w:space="0"/>
              <w:bottom w:val="nil"/>
              <w:right w:val="single" w:color="000000" w:sz="4" w:space="0"/>
            </w:tcBorders>
            <w:shd w:val="clear" w:color="auto" w:fill="auto"/>
            <w:vAlign w:val="center"/>
          </w:tcPr>
          <w:p w14:paraId="5D7E1CF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质量指标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2E95CE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资金兑付率</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344C42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707A85C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1BDFB1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6022E50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73.20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1E2265C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D949B1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477906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66DE84BB">
            <w:pPr>
              <w:jc w:val="left"/>
              <w:rPr>
                <w:rFonts w:hint="eastAsia" w:ascii="宋体" w:hAnsi="宋体" w:eastAsia="宋体" w:cs="宋体"/>
                <w:i w:val="0"/>
                <w:iCs w:val="0"/>
                <w:color w:val="000000"/>
                <w:sz w:val="18"/>
                <w:szCs w:val="18"/>
                <w:u w:val="none"/>
              </w:rPr>
            </w:pPr>
          </w:p>
        </w:tc>
      </w:tr>
      <w:tr w14:paraId="21D438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1FC05929">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28BFA582">
            <w:pPr>
              <w:jc w:val="center"/>
              <w:rPr>
                <w:rFonts w:hint="eastAsia" w:ascii="宋体" w:hAnsi="宋体" w:eastAsia="宋体" w:cs="宋体"/>
                <w:i w:val="0"/>
                <w:iCs w:val="0"/>
                <w:color w:val="000000"/>
                <w:sz w:val="18"/>
                <w:szCs w:val="18"/>
                <w:u w:val="none"/>
              </w:rPr>
            </w:pPr>
          </w:p>
        </w:tc>
        <w:tc>
          <w:tcPr>
            <w:tcW w:w="539" w:type="pct"/>
            <w:vMerge w:val="continue"/>
            <w:tcBorders>
              <w:top w:val="single" w:color="000000" w:sz="4" w:space="0"/>
              <w:left w:val="single" w:color="000000" w:sz="4" w:space="0"/>
              <w:bottom w:val="nil"/>
              <w:right w:val="single" w:color="000000" w:sz="4" w:space="0"/>
            </w:tcBorders>
            <w:shd w:val="clear" w:color="auto" w:fill="auto"/>
            <w:vAlign w:val="center"/>
          </w:tcPr>
          <w:p w14:paraId="2CC36999">
            <w:pPr>
              <w:jc w:val="cente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nil"/>
              <w:right w:val="single" w:color="000000" w:sz="4" w:space="0"/>
            </w:tcBorders>
            <w:shd w:val="clear" w:color="auto" w:fill="auto"/>
            <w:vAlign w:val="center"/>
          </w:tcPr>
          <w:p w14:paraId="1A8DDC3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任务完成率</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183A833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63C7EDF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504695C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70</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67D1DA5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346B9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46CF108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2D4B8CA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7.5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642AC01B">
            <w:pPr>
              <w:jc w:val="left"/>
              <w:rPr>
                <w:rFonts w:hint="eastAsia" w:ascii="宋体" w:hAnsi="宋体" w:eastAsia="宋体" w:cs="宋体"/>
                <w:i w:val="0"/>
                <w:iCs w:val="0"/>
                <w:color w:val="000000"/>
                <w:sz w:val="18"/>
                <w:szCs w:val="18"/>
                <w:u w:val="none"/>
              </w:rPr>
            </w:pPr>
          </w:p>
        </w:tc>
      </w:tr>
      <w:tr w14:paraId="2EB07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6F46098A">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27D600BE">
            <w:pPr>
              <w:jc w:val="center"/>
              <w:rPr>
                <w:rFonts w:hint="eastAsia" w:ascii="宋体" w:hAnsi="宋体" w:eastAsia="宋体" w:cs="宋体"/>
                <w:i w:val="0"/>
                <w:iCs w:val="0"/>
                <w:color w:val="000000"/>
                <w:sz w:val="18"/>
                <w:szCs w:val="18"/>
                <w:u w:val="none"/>
              </w:rPr>
            </w:pPr>
          </w:p>
        </w:tc>
        <w:tc>
          <w:tcPr>
            <w:tcW w:w="539" w:type="pct"/>
            <w:vMerge w:val="restart"/>
            <w:tcBorders>
              <w:top w:val="single" w:color="000000" w:sz="4" w:space="0"/>
              <w:left w:val="single" w:color="000000" w:sz="4" w:space="0"/>
              <w:bottom w:val="nil"/>
              <w:right w:val="single" w:color="000000" w:sz="4" w:space="0"/>
            </w:tcBorders>
            <w:shd w:val="clear" w:color="auto" w:fill="auto"/>
            <w:vAlign w:val="center"/>
          </w:tcPr>
          <w:p w14:paraId="65DF55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时效指标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72A74C6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任务完成时限</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2CD2FE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5ACD2E5B">
            <w:pPr>
              <w:jc w:val="center"/>
              <w:rPr>
                <w:rFonts w:hint="eastAsia" w:ascii="宋体" w:hAnsi="宋体" w:eastAsia="宋体" w:cs="宋体"/>
                <w:i w:val="0"/>
                <w:iCs w:val="0"/>
                <w:color w:val="000000"/>
                <w:sz w:val="18"/>
                <w:szCs w:val="18"/>
                <w:u w:val="none"/>
              </w:rPr>
            </w:pPr>
          </w:p>
        </w:tc>
        <w:tc>
          <w:tcPr>
            <w:tcW w:w="242" w:type="pct"/>
            <w:tcBorders>
              <w:top w:val="single" w:color="000000" w:sz="4" w:space="0"/>
              <w:left w:val="single" w:color="000000" w:sz="4" w:space="0"/>
              <w:bottom w:val="nil"/>
              <w:right w:val="single" w:color="000000" w:sz="4" w:space="0"/>
            </w:tcBorders>
            <w:shd w:val="clear" w:color="auto" w:fill="auto"/>
            <w:vAlign w:val="center"/>
          </w:tcPr>
          <w:p w14:paraId="2D5AA0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0BD5481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50FCCB3">
            <w:pPr>
              <w:jc w:val="center"/>
              <w:rPr>
                <w:rFonts w:hint="eastAsia" w:ascii="宋体" w:hAnsi="宋体" w:eastAsia="宋体" w:cs="宋体"/>
                <w:i w:val="0"/>
                <w:iCs w:val="0"/>
                <w:color w:val="000000"/>
                <w:sz w:val="18"/>
                <w:szCs w:val="18"/>
                <w:u w:val="none"/>
              </w:rPr>
            </w:pPr>
          </w:p>
        </w:tc>
        <w:tc>
          <w:tcPr>
            <w:tcW w:w="347" w:type="pct"/>
            <w:tcBorders>
              <w:top w:val="single" w:color="000000" w:sz="4" w:space="0"/>
              <w:left w:val="single" w:color="000000" w:sz="4" w:space="0"/>
              <w:bottom w:val="nil"/>
              <w:right w:val="single" w:color="000000" w:sz="4" w:space="0"/>
            </w:tcBorders>
            <w:shd w:val="clear" w:color="auto" w:fill="auto"/>
            <w:vAlign w:val="center"/>
          </w:tcPr>
          <w:p w14:paraId="2CC06C6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4FC23E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383B5178">
            <w:pPr>
              <w:jc w:val="left"/>
              <w:rPr>
                <w:rFonts w:hint="eastAsia" w:ascii="宋体" w:hAnsi="宋体" w:eastAsia="宋体" w:cs="宋体"/>
                <w:i w:val="0"/>
                <w:iCs w:val="0"/>
                <w:color w:val="000000"/>
                <w:sz w:val="18"/>
                <w:szCs w:val="18"/>
                <w:u w:val="none"/>
              </w:rPr>
            </w:pPr>
          </w:p>
        </w:tc>
      </w:tr>
      <w:tr w14:paraId="0DE452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45EAB589">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226F0439">
            <w:pPr>
              <w:jc w:val="center"/>
              <w:rPr>
                <w:rFonts w:hint="eastAsia" w:ascii="宋体" w:hAnsi="宋体" w:eastAsia="宋体" w:cs="宋体"/>
                <w:i w:val="0"/>
                <w:iCs w:val="0"/>
                <w:color w:val="000000"/>
                <w:sz w:val="18"/>
                <w:szCs w:val="18"/>
                <w:u w:val="none"/>
              </w:rPr>
            </w:pPr>
          </w:p>
        </w:tc>
        <w:tc>
          <w:tcPr>
            <w:tcW w:w="539" w:type="pct"/>
            <w:vMerge w:val="continue"/>
            <w:tcBorders>
              <w:top w:val="single" w:color="000000" w:sz="4" w:space="0"/>
              <w:left w:val="single" w:color="000000" w:sz="4" w:space="0"/>
              <w:bottom w:val="nil"/>
              <w:right w:val="single" w:color="000000" w:sz="4" w:space="0"/>
            </w:tcBorders>
            <w:shd w:val="clear" w:color="auto" w:fill="auto"/>
            <w:vAlign w:val="center"/>
          </w:tcPr>
          <w:p w14:paraId="01CE1641">
            <w:pPr>
              <w:jc w:val="cente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nil"/>
              <w:right w:val="single" w:color="000000" w:sz="4" w:space="0"/>
            </w:tcBorders>
            <w:shd w:val="clear" w:color="auto" w:fill="auto"/>
            <w:vAlign w:val="center"/>
          </w:tcPr>
          <w:p w14:paraId="3D87ABB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资金支出时限</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11A4406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2831B65B">
            <w:pPr>
              <w:jc w:val="center"/>
              <w:rPr>
                <w:rFonts w:hint="eastAsia" w:ascii="宋体" w:hAnsi="宋体" w:eastAsia="宋体" w:cs="宋体"/>
                <w:i w:val="0"/>
                <w:iCs w:val="0"/>
                <w:color w:val="000000"/>
                <w:sz w:val="18"/>
                <w:szCs w:val="18"/>
                <w:u w:val="none"/>
              </w:rPr>
            </w:pPr>
          </w:p>
        </w:tc>
        <w:tc>
          <w:tcPr>
            <w:tcW w:w="242" w:type="pct"/>
            <w:tcBorders>
              <w:top w:val="single" w:color="000000" w:sz="4" w:space="0"/>
              <w:left w:val="single" w:color="000000" w:sz="4" w:space="0"/>
              <w:bottom w:val="nil"/>
              <w:right w:val="single" w:color="000000" w:sz="4" w:space="0"/>
            </w:tcBorders>
            <w:shd w:val="clear" w:color="auto" w:fill="auto"/>
            <w:vAlign w:val="center"/>
          </w:tcPr>
          <w:p w14:paraId="4E0CB12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047EEAD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2024年底前</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24049A8">
            <w:pPr>
              <w:jc w:val="center"/>
              <w:rPr>
                <w:rFonts w:hint="eastAsia" w:ascii="宋体" w:hAnsi="宋体" w:eastAsia="宋体" w:cs="宋体"/>
                <w:i w:val="0"/>
                <w:iCs w:val="0"/>
                <w:color w:val="000000"/>
                <w:sz w:val="18"/>
                <w:szCs w:val="18"/>
                <w:u w:val="none"/>
              </w:rPr>
            </w:pPr>
          </w:p>
        </w:tc>
        <w:tc>
          <w:tcPr>
            <w:tcW w:w="347" w:type="pct"/>
            <w:tcBorders>
              <w:top w:val="single" w:color="000000" w:sz="4" w:space="0"/>
              <w:left w:val="single" w:color="000000" w:sz="4" w:space="0"/>
              <w:bottom w:val="nil"/>
              <w:right w:val="single" w:color="000000" w:sz="4" w:space="0"/>
            </w:tcBorders>
            <w:shd w:val="clear" w:color="auto" w:fill="auto"/>
            <w:vAlign w:val="center"/>
          </w:tcPr>
          <w:p w14:paraId="473D5A9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5651A10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54F0EFFA">
            <w:pPr>
              <w:jc w:val="left"/>
              <w:rPr>
                <w:rFonts w:hint="eastAsia" w:ascii="宋体" w:hAnsi="宋体" w:eastAsia="宋体" w:cs="宋体"/>
                <w:i w:val="0"/>
                <w:iCs w:val="0"/>
                <w:color w:val="000000"/>
                <w:sz w:val="18"/>
                <w:szCs w:val="18"/>
                <w:u w:val="none"/>
              </w:rPr>
            </w:pPr>
          </w:p>
        </w:tc>
      </w:tr>
      <w:tr w14:paraId="6084AC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39047A8F">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5C7C5E0D">
            <w:pPr>
              <w:jc w:val="center"/>
              <w:rPr>
                <w:rFonts w:hint="eastAsia" w:ascii="宋体" w:hAnsi="宋体" w:eastAsia="宋体" w:cs="宋体"/>
                <w:i w:val="0"/>
                <w:iCs w:val="0"/>
                <w:color w:val="000000"/>
                <w:sz w:val="18"/>
                <w:szCs w:val="18"/>
                <w:u w:val="none"/>
              </w:rPr>
            </w:pPr>
          </w:p>
        </w:tc>
        <w:tc>
          <w:tcPr>
            <w:tcW w:w="539" w:type="pct"/>
            <w:vMerge w:val="restart"/>
            <w:tcBorders>
              <w:top w:val="single" w:color="000000" w:sz="4" w:space="0"/>
              <w:left w:val="single" w:color="000000" w:sz="4" w:space="0"/>
              <w:bottom w:val="nil"/>
              <w:right w:val="single" w:color="000000" w:sz="4" w:space="0"/>
            </w:tcBorders>
            <w:shd w:val="clear" w:color="auto" w:fill="auto"/>
            <w:vAlign w:val="center"/>
          </w:tcPr>
          <w:p w14:paraId="72EE42B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成本指标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7533662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人才培养专家评审费</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71577D1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59D04E4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42163E1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004EB21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56E55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64966FD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579CE5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3</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5D85E0C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本年度未支出专家评审费用。</w:t>
            </w:r>
          </w:p>
        </w:tc>
      </w:tr>
      <w:tr w14:paraId="0C60B3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8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040BC8B1">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7C6A815A">
            <w:pPr>
              <w:jc w:val="center"/>
              <w:rPr>
                <w:rFonts w:hint="eastAsia" w:ascii="宋体" w:hAnsi="宋体" w:eastAsia="宋体" w:cs="宋体"/>
                <w:i w:val="0"/>
                <w:iCs w:val="0"/>
                <w:color w:val="000000"/>
                <w:sz w:val="18"/>
                <w:szCs w:val="18"/>
                <w:u w:val="none"/>
              </w:rPr>
            </w:pPr>
          </w:p>
        </w:tc>
        <w:tc>
          <w:tcPr>
            <w:tcW w:w="539" w:type="pct"/>
            <w:vMerge w:val="continue"/>
            <w:tcBorders>
              <w:top w:val="single" w:color="000000" w:sz="4" w:space="0"/>
              <w:left w:val="single" w:color="000000" w:sz="4" w:space="0"/>
              <w:bottom w:val="nil"/>
              <w:right w:val="single" w:color="000000" w:sz="4" w:space="0"/>
            </w:tcBorders>
            <w:shd w:val="clear" w:color="auto" w:fill="auto"/>
            <w:vAlign w:val="center"/>
          </w:tcPr>
          <w:p w14:paraId="591F3472">
            <w:pPr>
              <w:jc w:val="cente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nil"/>
              <w:right w:val="single" w:color="000000" w:sz="4" w:space="0"/>
            </w:tcBorders>
            <w:shd w:val="clear" w:color="auto" w:fill="auto"/>
            <w:vAlign w:val="center"/>
          </w:tcPr>
          <w:p w14:paraId="1DE84B7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人才工作考察调研费</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0DD6F7B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3E509C2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1CD24A1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67E92F99">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A3AD6A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78CF2A0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5690F9E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0DB58AF7">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本年度考察任务未执行。</w:t>
            </w:r>
          </w:p>
        </w:tc>
      </w:tr>
      <w:tr w14:paraId="172518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5904AF2A">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317868F5">
            <w:pPr>
              <w:jc w:val="center"/>
              <w:rPr>
                <w:rFonts w:hint="eastAsia" w:ascii="宋体" w:hAnsi="宋体" w:eastAsia="宋体" w:cs="宋体"/>
                <w:i w:val="0"/>
                <w:iCs w:val="0"/>
                <w:color w:val="000000"/>
                <w:sz w:val="18"/>
                <w:szCs w:val="18"/>
                <w:u w:val="none"/>
              </w:rPr>
            </w:pPr>
          </w:p>
        </w:tc>
        <w:tc>
          <w:tcPr>
            <w:tcW w:w="539" w:type="pct"/>
            <w:vMerge w:val="continue"/>
            <w:tcBorders>
              <w:top w:val="single" w:color="000000" w:sz="4" w:space="0"/>
              <w:left w:val="single" w:color="000000" w:sz="4" w:space="0"/>
              <w:bottom w:val="nil"/>
              <w:right w:val="single" w:color="000000" w:sz="4" w:space="0"/>
            </w:tcBorders>
            <w:shd w:val="clear" w:color="auto" w:fill="auto"/>
            <w:vAlign w:val="center"/>
          </w:tcPr>
          <w:p w14:paraId="4213BD24">
            <w:pPr>
              <w:jc w:val="center"/>
              <w:rPr>
                <w:rFonts w:hint="eastAsia" w:ascii="宋体" w:hAnsi="宋体" w:eastAsia="宋体" w:cs="宋体"/>
                <w:i w:val="0"/>
                <w:iCs w:val="0"/>
                <w:color w:val="000000"/>
                <w:sz w:val="18"/>
                <w:szCs w:val="18"/>
                <w:u w:val="none"/>
              </w:rPr>
            </w:pPr>
          </w:p>
        </w:tc>
        <w:tc>
          <w:tcPr>
            <w:tcW w:w="762" w:type="pct"/>
            <w:tcBorders>
              <w:top w:val="single" w:color="000000" w:sz="4" w:space="0"/>
              <w:left w:val="single" w:color="000000" w:sz="4" w:space="0"/>
              <w:bottom w:val="nil"/>
              <w:right w:val="single" w:color="000000" w:sz="4" w:space="0"/>
            </w:tcBorders>
            <w:shd w:val="clear" w:color="auto" w:fill="auto"/>
            <w:vAlign w:val="center"/>
          </w:tcPr>
          <w:p w14:paraId="20AE95C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人才慰问费</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5353557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反向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06CA5F8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小于等于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797CE10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3C72AA9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0BA9C4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万元</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3EBFC5A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2D98BDB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2</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54054FFA">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本年度人才慰问未使用本项目资金。</w:t>
            </w:r>
          </w:p>
        </w:tc>
      </w:tr>
      <w:tr w14:paraId="3B33D57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435F1064">
            <w:pPr>
              <w:jc w:val="center"/>
              <w:rPr>
                <w:rFonts w:hint="eastAsia" w:ascii="宋体" w:hAnsi="宋体" w:eastAsia="宋体" w:cs="宋体"/>
                <w:i w:val="0"/>
                <w:iCs w:val="0"/>
                <w:color w:val="000000"/>
                <w:sz w:val="18"/>
                <w:szCs w:val="18"/>
                <w:u w:val="none"/>
              </w:rPr>
            </w:pPr>
          </w:p>
        </w:tc>
        <w:tc>
          <w:tcPr>
            <w:tcW w:w="222" w:type="pct"/>
            <w:vMerge w:val="restart"/>
            <w:tcBorders>
              <w:top w:val="single" w:color="000000" w:sz="4" w:space="0"/>
              <w:left w:val="single" w:color="000000" w:sz="4" w:space="0"/>
              <w:bottom w:val="nil"/>
              <w:right w:val="single" w:color="000000" w:sz="4" w:space="0"/>
            </w:tcBorders>
            <w:shd w:val="clear" w:color="auto" w:fill="auto"/>
            <w:vAlign w:val="center"/>
          </w:tcPr>
          <w:p w14:paraId="4DBA589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效益指标</w:t>
            </w:r>
          </w:p>
        </w:tc>
        <w:tc>
          <w:tcPr>
            <w:tcW w:w="539" w:type="pct"/>
            <w:tcBorders>
              <w:top w:val="single" w:color="000000" w:sz="4" w:space="0"/>
              <w:left w:val="single" w:color="000000" w:sz="4" w:space="0"/>
              <w:bottom w:val="nil"/>
              <w:right w:val="single" w:color="000000" w:sz="4" w:space="0"/>
            </w:tcBorders>
            <w:shd w:val="clear" w:color="auto" w:fill="auto"/>
            <w:vAlign w:val="center"/>
          </w:tcPr>
          <w:p w14:paraId="21B38C2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社会效益指标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71A4A8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做好卫生健康部门人才培养培育</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77989CCD">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66C3BED4">
            <w:pPr>
              <w:jc w:val="center"/>
              <w:rPr>
                <w:rFonts w:hint="eastAsia" w:ascii="宋体" w:hAnsi="宋体" w:eastAsia="宋体" w:cs="宋体"/>
                <w:i w:val="0"/>
                <w:iCs w:val="0"/>
                <w:color w:val="000000"/>
                <w:sz w:val="18"/>
                <w:szCs w:val="18"/>
                <w:u w:val="none"/>
              </w:rPr>
            </w:pPr>
          </w:p>
        </w:tc>
        <w:tc>
          <w:tcPr>
            <w:tcW w:w="242" w:type="pct"/>
            <w:tcBorders>
              <w:top w:val="single" w:color="000000" w:sz="4" w:space="0"/>
              <w:left w:val="single" w:color="000000" w:sz="4" w:space="0"/>
              <w:bottom w:val="nil"/>
              <w:right w:val="single" w:color="000000" w:sz="4" w:space="0"/>
            </w:tcBorders>
            <w:shd w:val="clear" w:color="auto" w:fill="auto"/>
            <w:vAlign w:val="center"/>
          </w:tcPr>
          <w:p w14:paraId="7F62765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做好</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7D06C7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做好</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008CE20E">
            <w:pPr>
              <w:jc w:val="center"/>
              <w:rPr>
                <w:rFonts w:hint="eastAsia" w:ascii="宋体" w:hAnsi="宋体" w:eastAsia="宋体" w:cs="宋体"/>
                <w:i w:val="0"/>
                <w:iCs w:val="0"/>
                <w:color w:val="000000"/>
                <w:sz w:val="18"/>
                <w:szCs w:val="18"/>
                <w:u w:val="none"/>
              </w:rPr>
            </w:pPr>
          </w:p>
        </w:tc>
        <w:tc>
          <w:tcPr>
            <w:tcW w:w="347" w:type="pct"/>
            <w:tcBorders>
              <w:top w:val="single" w:color="000000" w:sz="4" w:space="0"/>
              <w:left w:val="single" w:color="000000" w:sz="4" w:space="0"/>
              <w:bottom w:val="nil"/>
              <w:right w:val="single" w:color="000000" w:sz="4" w:space="0"/>
            </w:tcBorders>
            <w:shd w:val="clear" w:color="auto" w:fill="auto"/>
            <w:vAlign w:val="center"/>
          </w:tcPr>
          <w:p w14:paraId="6EC8061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3C9545D8">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2D6756A8">
            <w:pPr>
              <w:jc w:val="left"/>
              <w:rPr>
                <w:rFonts w:hint="eastAsia" w:ascii="宋体" w:hAnsi="宋体" w:eastAsia="宋体" w:cs="宋体"/>
                <w:i w:val="0"/>
                <w:iCs w:val="0"/>
                <w:color w:val="000000"/>
                <w:sz w:val="18"/>
                <w:szCs w:val="18"/>
                <w:u w:val="none"/>
              </w:rPr>
            </w:pPr>
          </w:p>
        </w:tc>
      </w:tr>
      <w:tr w14:paraId="5E910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2B888F83">
            <w:pPr>
              <w:jc w:val="center"/>
              <w:rPr>
                <w:rFonts w:hint="eastAsia" w:ascii="宋体" w:hAnsi="宋体" w:eastAsia="宋体" w:cs="宋体"/>
                <w:i w:val="0"/>
                <w:iCs w:val="0"/>
                <w:color w:val="000000"/>
                <w:sz w:val="18"/>
                <w:szCs w:val="18"/>
                <w:u w:val="none"/>
              </w:rPr>
            </w:pPr>
          </w:p>
        </w:tc>
        <w:tc>
          <w:tcPr>
            <w:tcW w:w="222" w:type="pct"/>
            <w:vMerge w:val="continue"/>
            <w:tcBorders>
              <w:top w:val="single" w:color="000000" w:sz="4" w:space="0"/>
              <w:left w:val="single" w:color="000000" w:sz="4" w:space="0"/>
              <w:bottom w:val="nil"/>
              <w:right w:val="single" w:color="000000" w:sz="4" w:space="0"/>
            </w:tcBorders>
            <w:shd w:val="clear" w:color="auto" w:fill="auto"/>
            <w:vAlign w:val="center"/>
          </w:tcPr>
          <w:p w14:paraId="45746441">
            <w:pPr>
              <w:jc w:val="center"/>
              <w:rPr>
                <w:rFonts w:hint="eastAsia" w:ascii="宋体" w:hAnsi="宋体" w:eastAsia="宋体" w:cs="宋体"/>
                <w:i w:val="0"/>
                <w:iCs w:val="0"/>
                <w:color w:val="000000"/>
                <w:sz w:val="18"/>
                <w:szCs w:val="18"/>
                <w:u w:val="none"/>
              </w:rPr>
            </w:pPr>
          </w:p>
        </w:tc>
        <w:tc>
          <w:tcPr>
            <w:tcW w:w="539" w:type="pct"/>
            <w:tcBorders>
              <w:top w:val="single" w:color="000000" w:sz="4" w:space="0"/>
              <w:left w:val="single" w:color="000000" w:sz="4" w:space="0"/>
              <w:bottom w:val="nil"/>
              <w:right w:val="single" w:color="000000" w:sz="4" w:space="0"/>
            </w:tcBorders>
            <w:shd w:val="clear" w:color="auto" w:fill="auto"/>
            <w:vAlign w:val="center"/>
          </w:tcPr>
          <w:p w14:paraId="1E127CB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可持续影响指标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55B41AEA">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助推高质量发展</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21B0B3C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定性</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2FF5DB5A">
            <w:pPr>
              <w:jc w:val="center"/>
              <w:rPr>
                <w:rFonts w:hint="eastAsia" w:ascii="宋体" w:hAnsi="宋体" w:eastAsia="宋体" w:cs="宋体"/>
                <w:i w:val="0"/>
                <w:iCs w:val="0"/>
                <w:color w:val="000000"/>
                <w:sz w:val="18"/>
                <w:szCs w:val="18"/>
                <w:u w:val="none"/>
              </w:rPr>
            </w:pPr>
          </w:p>
        </w:tc>
        <w:tc>
          <w:tcPr>
            <w:tcW w:w="242" w:type="pct"/>
            <w:tcBorders>
              <w:top w:val="single" w:color="000000" w:sz="4" w:space="0"/>
              <w:left w:val="single" w:color="000000" w:sz="4" w:space="0"/>
              <w:bottom w:val="nil"/>
              <w:right w:val="single" w:color="000000" w:sz="4" w:space="0"/>
            </w:tcBorders>
            <w:shd w:val="clear" w:color="auto" w:fill="auto"/>
            <w:vAlign w:val="center"/>
          </w:tcPr>
          <w:p w14:paraId="1860A96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长期</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7A164AC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助推</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7A7E6E0F">
            <w:pPr>
              <w:jc w:val="center"/>
              <w:rPr>
                <w:rFonts w:hint="eastAsia" w:ascii="宋体" w:hAnsi="宋体" w:eastAsia="宋体" w:cs="宋体"/>
                <w:i w:val="0"/>
                <w:iCs w:val="0"/>
                <w:color w:val="000000"/>
                <w:sz w:val="18"/>
                <w:szCs w:val="18"/>
                <w:u w:val="none"/>
              </w:rPr>
            </w:pPr>
          </w:p>
        </w:tc>
        <w:tc>
          <w:tcPr>
            <w:tcW w:w="347" w:type="pct"/>
            <w:tcBorders>
              <w:top w:val="single" w:color="000000" w:sz="4" w:space="0"/>
              <w:left w:val="single" w:color="000000" w:sz="4" w:space="0"/>
              <w:bottom w:val="nil"/>
              <w:right w:val="single" w:color="000000" w:sz="4" w:space="0"/>
            </w:tcBorders>
            <w:shd w:val="clear" w:color="auto" w:fill="auto"/>
            <w:vAlign w:val="center"/>
          </w:tcPr>
          <w:p w14:paraId="51F5CE3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100D49CE">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15</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41A2E299">
            <w:pPr>
              <w:jc w:val="left"/>
              <w:rPr>
                <w:rFonts w:hint="eastAsia" w:ascii="宋体" w:hAnsi="宋体" w:eastAsia="宋体" w:cs="宋体"/>
                <w:i w:val="0"/>
                <w:iCs w:val="0"/>
                <w:color w:val="000000"/>
                <w:sz w:val="18"/>
                <w:szCs w:val="18"/>
                <w:u w:val="none"/>
              </w:rPr>
            </w:pPr>
          </w:p>
        </w:tc>
      </w:tr>
      <w:tr w14:paraId="53BBD7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40" w:hRule="atLeast"/>
        </w:trPr>
        <w:tc>
          <w:tcPr>
            <w:tcW w:w="204" w:type="pct"/>
            <w:vMerge w:val="continue"/>
            <w:tcBorders>
              <w:top w:val="single" w:color="000000" w:sz="4" w:space="0"/>
              <w:left w:val="single" w:color="000000" w:sz="4" w:space="0"/>
              <w:bottom w:val="nil"/>
              <w:right w:val="single" w:color="000000" w:sz="4" w:space="0"/>
            </w:tcBorders>
            <w:shd w:val="clear" w:color="auto" w:fill="auto"/>
            <w:vAlign w:val="center"/>
          </w:tcPr>
          <w:p w14:paraId="559D3EB2">
            <w:pPr>
              <w:jc w:val="center"/>
              <w:rPr>
                <w:rFonts w:hint="eastAsia" w:ascii="宋体" w:hAnsi="宋体" w:eastAsia="宋体" w:cs="宋体"/>
                <w:i w:val="0"/>
                <w:iCs w:val="0"/>
                <w:color w:val="000000"/>
                <w:sz w:val="18"/>
                <w:szCs w:val="18"/>
                <w:u w:val="none"/>
              </w:rPr>
            </w:pPr>
          </w:p>
        </w:tc>
        <w:tc>
          <w:tcPr>
            <w:tcW w:w="222" w:type="pct"/>
            <w:tcBorders>
              <w:top w:val="single" w:color="000000" w:sz="4" w:space="0"/>
              <w:left w:val="single" w:color="000000" w:sz="4" w:space="0"/>
              <w:bottom w:val="nil"/>
              <w:right w:val="single" w:color="000000" w:sz="4" w:space="0"/>
            </w:tcBorders>
            <w:shd w:val="clear" w:color="auto" w:fill="auto"/>
            <w:vAlign w:val="center"/>
          </w:tcPr>
          <w:p w14:paraId="16B2CAFB">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满意度指标</w:t>
            </w:r>
          </w:p>
        </w:tc>
        <w:tc>
          <w:tcPr>
            <w:tcW w:w="539" w:type="pct"/>
            <w:tcBorders>
              <w:top w:val="single" w:color="000000" w:sz="4" w:space="0"/>
              <w:left w:val="single" w:color="000000" w:sz="4" w:space="0"/>
              <w:bottom w:val="nil"/>
              <w:right w:val="single" w:color="000000" w:sz="4" w:space="0"/>
            </w:tcBorders>
            <w:shd w:val="clear" w:color="auto" w:fill="auto"/>
            <w:vAlign w:val="center"/>
          </w:tcPr>
          <w:p w14:paraId="7C39974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服务对象满意度指标</w:t>
            </w:r>
          </w:p>
        </w:tc>
        <w:tc>
          <w:tcPr>
            <w:tcW w:w="762" w:type="pct"/>
            <w:tcBorders>
              <w:top w:val="single" w:color="000000" w:sz="4" w:space="0"/>
              <w:left w:val="single" w:color="000000" w:sz="4" w:space="0"/>
              <w:bottom w:val="nil"/>
              <w:right w:val="single" w:color="000000" w:sz="4" w:space="0"/>
            </w:tcBorders>
            <w:shd w:val="clear" w:color="auto" w:fill="auto"/>
            <w:vAlign w:val="center"/>
          </w:tcPr>
          <w:p w14:paraId="01DFBAE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培养培育人才满意度</w:t>
            </w:r>
          </w:p>
        </w:tc>
        <w:tc>
          <w:tcPr>
            <w:tcW w:w="359" w:type="pct"/>
            <w:tcBorders>
              <w:top w:val="single" w:color="000000" w:sz="4" w:space="0"/>
              <w:left w:val="single" w:color="000000" w:sz="4" w:space="0"/>
              <w:bottom w:val="nil"/>
              <w:right w:val="single" w:color="000000" w:sz="4" w:space="0"/>
            </w:tcBorders>
            <w:shd w:val="clear" w:color="auto" w:fill="auto"/>
            <w:vAlign w:val="center"/>
          </w:tcPr>
          <w:p w14:paraId="466DECF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正向</w:t>
            </w:r>
          </w:p>
        </w:tc>
        <w:tc>
          <w:tcPr>
            <w:tcW w:w="378" w:type="pct"/>
            <w:tcBorders>
              <w:top w:val="single" w:color="000000" w:sz="4" w:space="0"/>
              <w:left w:val="single" w:color="000000" w:sz="4" w:space="0"/>
              <w:bottom w:val="nil"/>
              <w:right w:val="single" w:color="000000" w:sz="4" w:space="0"/>
            </w:tcBorders>
            <w:shd w:val="clear" w:color="auto" w:fill="auto"/>
            <w:vAlign w:val="center"/>
          </w:tcPr>
          <w:p w14:paraId="55BBAF31">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大于等于</w:t>
            </w:r>
          </w:p>
        </w:tc>
        <w:tc>
          <w:tcPr>
            <w:tcW w:w="242" w:type="pct"/>
            <w:tcBorders>
              <w:top w:val="single" w:color="000000" w:sz="4" w:space="0"/>
              <w:left w:val="single" w:color="000000" w:sz="4" w:space="0"/>
              <w:bottom w:val="nil"/>
              <w:right w:val="single" w:color="000000" w:sz="4" w:space="0"/>
            </w:tcBorders>
            <w:shd w:val="clear" w:color="auto" w:fill="auto"/>
            <w:vAlign w:val="center"/>
          </w:tcPr>
          <w:p w14:paraId="6A734472">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w:t>
            </w:r>
          </w:p>
        </w:tc>
        <w:tc>
          <w:tcPr>
            <w:tcW w:w="489" w:type="pct"/>
            <w:tcBorders>
              <w:top w:val="single" w:color="000000" w:sz="4" w:space="0"/>
              <w:left w:val="single" w:color="000000" w:sz="4" w:space="0"/>
              <w:bottom w:val="nil"/>
              <w:right w:val="single" w:color="000000" w:sz="4" w:space="0"/>
            </w:tcBorders>
            <w:shd w:val="clear" w:color="auto" w:fill="auto"/>
            <w:vAlign w:val="center"/>
          </w:tcPr>
          <w:p w14:paraId="1674EF1C">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85.00</w:t>
            </w:r>
          </w:p>
        </w:tc>
        <w:tc>
          <w:tcPr>
            <w:tcW w:w="372" w:type="pct"/>
            <w:tcBorders>
              <w:top w:val="single" w:color="000000" w:sz="4" w:space="0"/>
              <w:left w:val="single" w:color="000000" w:sz="4" w:space="0"/>
              <w:bottom w:val="nil"/>
              <w:right w:val="single" w:color="000000" w:sz="4" w:space="0"/>
            </w:tcBorders>
            <w:shd w:val="clear" w:color="auto" w:fill="auto"/>
            <w:vAlign w:val="center"/>
          </w:tcPr>
          <w:p w14:paraId="602C07B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w:t>
            </w:r>
          </w:p>
        </w:tc>
        <w:tc>
          <w:tcPr>
            <w:tcW w:w="347" w:type="pct"/>
            <w:tcBorders>
              <w:top w:val="single" w:color="000000" w:sz="4" w:space="0"/>
              <w:left w:val="single" w:color="000000" w:sz="4" w:space="0"/>
              <w:bottom w:val="nil"/>
              <w:right w:val="single" w:color="000000" w:sz="4" w:space="0"/>
            </w:tcBorders>
            <w:shd w:val="clear" w:color="auto" w:fill="auto"/>
            <w:vAlign w:val="center"/>
          </w:tcPr>
          <w:p w14:paraId="21D91C94">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341" w:type="pct"/>
            <w:tcBorders>
              <w:top w:val="single" w:color="000000" w:sz="4" w:space="0"/>
              <w:left w:val="single" w:color="000000" w:sz="4" w:space="0"/>
              <w:bottom w:val="nil"/>
              <w:right w:val="single" w:color="000000" w:sz="4" w:space="0"/>
            </w:tcBorders>
            <w:shd w:val="clear" w:color="auto" w:fill="auto"/>
            <w:vAlign w:val="center"/>
          </w:tcPr>
          <w:p w14:paraId="4A6A69F5">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w:t>
            </w:r>
          </w:p>
        </w:tc>
        <w:tc>
          <w:tcPr>
            <w:tcW w:w="739" w:type="pct"/>
            <w:tcBorders>
              <w:top w:val="single" w:color="000000" w:sz="4" w:space="0"/>
              <w:left w:val="single" w:color="000000" w:sz="4" w:space="0"/>
              <w:bottom w:val="nil"/>
              <w:right w:val="single" w:color="000000" w:sz="4" w:space="0"/>
            </w:tcBorders>
            <w:shd w:val="clear" w:color="auto" w:fill="auto"/>
            <w:vAlign w:val="center"/>
          </w:tcPr>
          <w:p w14:paraId="30F6AC07">
            <w:pPr>
              <w:jc w:val="center"/>
              <w:rPr>
                <w:rFonts w:hint="eastAsia" w:ascii="宋体" w:hAnsi="宋体" w:eastAsia="宋体" w:cs="宋体"/>
                <w:i w:val="0"/>
                <w:iCs w:val="0"/>
                <w:color w:val="000000"/>
                <w:sz w:val="18"/>
                <w:szCs w:val="18"/>
                <w:u w:val="none"/>
              </w:rPr>
            </w:pPr>
          </w:p>
        </w:tc>
      </w:tr>
      <w:tr w14:paraId="409E3C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0" w:hRule="atLeast"/>
        </w:trPr>
        <w:tc>
          <w:tcPr>
            <w:tcW w:w="3571" w:type="pct"/>
            <w:gridSpan w:val="9"/>
            <w:tcBorders>
              <w:top w:val="single" w:color="000000" w:sz="4" w:space="0"/>
              <w:left w:val="single" w:color="000000" w:sz="4" w:space="0"/>
              <w:bottom w:val="single" w:color="000000" w:sz="4" w:space="0"/>
              <w:right w:val="single" w:color="000000" w:sz="4" w:space="0"/>
            </w:tcBorders>
            <w:shd w:val="clear" w:color="auto" w:fill="auto"/>
            <w:vAlign w:val="center"/>
          </w:tcPr>
          <w:p w14:paraId="5A00F237">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总分</w:t>
            </w:r>
          </w:p>
        </w:tc>
        <w:tc>
          <w:tcPr>
            <w:tcW w:w="3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4948F">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100</w:t>
            </w:r>
          </w:p>
        </w:tc>
        <w:tc>
          <w:tcPr>
            <w:tcW w:w="34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2A0A83">
            <w:pPr>
              <w:keepNext w:val="0"/>
              <w:keepLines w:val="0"/>
              <w:widowControl/>
              <w:suppressLineNumbers w:val="0"/>
              <w:jc w:val="center"/>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87.32</w:t>
            </w:r>
          </w:p>
        </w:tc>
        <w:tc>
          <w:tcPr>
            <w:tcW w:w="73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6E700">
            <w:pPr>
              <w:jc w:val="center"/>
              <w:rPr>
                <w:rFonts w:hint="eastAsia" w:ascii="宋体" w:hAnsi="宋体" w:eastAsia="宋体" w:cs="宋体"/>
                <w:i w:val="0"/>
                <w:iCs w:val="0"/>
                <w:color w:val="000000"/>
                <w:sz w:val="18"/>
                <w:szCs w:val="18"/>
                <w:u w:val="none"/>
              </w:rPr>
            </w:pPr>
          </w:p>
        </w:tc>
      </w:tr>
    </w:tbl>
    <w:p w14:paraId="5B2268F1">
      <w:pPr>
        <w:widowControl/>
        <w:spacing w:before="240" w:after="240"/>
        <w:ind w:firstLine="540" w:firstLineChars="200"/>
        <w:jc w:val="left"/>
        <w:rPr>
          <w:rFonts w:hint="default" w:ascii="Times New Roman" w:hAnsi="Times New Roman" w:eastAsia="kai_ti_gb2312" w:cs="Times New Roman"/>
          <w:b/>
          <w:bCs/>
          <w:kern w:val="0"/>
          <w:sz w:val="27"/>
          <w:szCs w:val="27"/>
          <w:u w:val="none" w:color="auto"/>
        </w:rPr>
      </w:pPr>
    </w:p>
    <w:p w14:paraId="59062684">
      <w:pPr>
        <w:widowControl/>
        <w:spacing w:before="240" w:after="240"/>
        <w:ind w:firstLine="640" w:firstLineChars="200"/>
        <w:jc w:val="left"/>
        <w:rPr>
          <w:rFonts w:hint="default" w:ascii="Times New Roman" w:hAnsi="Times New Roman" w:eastAsia="kai_ti_gb2312" w:cs="Times New Roman"/>
          <w:b/>
          <w:bCs/>
          <w:kern w:val="0"/>
          <w:sz w:val="32"/>
          <w:szCs w:val="32"/>
          <w:u w:val="none" w:color="auto"/>
        </w:rPr>
      </w:pPr>
      <w:r>
        <w:rPr>
          <w:rFonts w:hint="default" w:ascii="Times New Roman" w:hAnsi="Times New Roman" w:eastAsia="kai_ti_gb2312" w:cs="Times New Roman"/>
          <w:b/>
          <w:bCs/>
          <w:kern w:val="0"/>
          <w:sz w:val="32"/>
          <w:szCs w:val="32"/>
          <w:u w:val="none" w:color="auto"/>
        </w:rPr>
        <w:t>（三）部门项目绩效评价结果。</w:t>
      </w:r>
    </w:p>
    <w:p w14:paraId="26C32DF5">
      <w:pPr>
        <w:widowControl/>
        <w:spacing w:before="240" w:after="240"/>
        <w:ind w:firstLine="640" w:firstLineChars="20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32"/>
          <w:szCs w:val="32"/>
          <w:u w:val="none" w:color="auto"/>
        </w:rPr>
        <w:t>以</w:t>
      </w:r>
      <w:r>
        <w:rPr>
          <w:rFonts w:hint="default" w:ascii="Times New Roman" w:hAnsi="Times New Roman" w:eastAsia="times_new_roman" w:cs="Times New Roman"/>
          <w:kern w:val="0"/>
          <w:sz w:val="32"/>
          <w:szCs w:val="32"/>
          <w:u w:val="none" w:color="auto"/>
        </w:rPr>
        <w:t>“</w:t>
      </w:r>
      <w:r>
        <w:rPr>
          <w:rFonts w:hint="eastAsia" w:ascii="仿宋_GB2312" w:hAnsi="仿宋_GB2312" w:eastAsia="仿宋_GB2312" w:cs="仿宋_GB2312"/>
          <w:kern w:val="0"/>
          <w:sz w:val="32"/>
          <w:szCs w:val="32"/>
          <w:u w:val="none" w:color="auto"/>
        </w:rPr>
        <w:t>中医药（蒙医药）发展专项及卫生健康专项”</w:t>
      </w:r>
      <w:r>
        <w:rPr>
          <w:rFonts w:hint="default" w:ascii="Times New Roman" w:hAnsi="Times New Roman" w:eastAsia="仿宋_GB2312" w:cs="Times New Roman"/>
          <w:kern w:val="0"/>
          <w:sz w:val="32"/>
          <w:szCs w:val="32"/>
          <w:u w:val="none" w:color="auto"/>
        </w:rPr>
        <w:t>为例，该项目绩效评价综合得分为</w:t>
      </w:r>
      <w:r>
        <w:rPr>
          <w:rFonts w:hint="eastAsia" w:cs="Times New Roman"/>
          <w:kern w:val="0"/>
          <w:sz w:val="32"/>
          <w:szCs w:val="32"/>
          <w:highlight w:val="none"/>
          <w:u w:val="none" w:color="auto"/>
          <w:lang w:val="en-US" w:eastAsia="zh-CN"/>
        </w:rPr>
        <w:t>78.41</w:t>
      </w:r>
      <w:r>
        <w:rPr>
          <w:rFonts w:hint="default" w:ascii="Times New Roman" w:hAnsi="Times New Roman" w:eastAsia="仿宋_GB2312" w:cs="Times New Roman"/>
          <w:kern w:val="0"/>
          <w:sz w:val="32"/>
          <w:szCs w:val="32"/>
          <w:u w:val="none" w:color="auto"/>
        </w:rPr>
        <w:t>分，绩效评价结果为“</w:t>
      </w:r>
      <w:r>
        <w:rPr>
          <w:rFonts w:hint="eastAsia" w:eastAsia="仿宋_GB2312" w:cs="Times New Roman"/>
          <w:kern w:val="0"/>
          <w:sz w:val="32"/>
          <w:szCs w:val="32"/>
          <w:u w:val="none" w:color="auto"/>
          <w:lang w:val="en-US" w:eastAsia="zh-CN"/>
        </w:rPr>
        <w:t>中</w:t>
      </w:r>
      <w:r>
        <w:rPr>
          <w:rFonts w:hint="default" w:ascii="Times New Roman" w:hAnsi="Times New Roman" w:eastAsia="仿宋_GB2312" w:cs="Times New Roman"/>
          <w:kern w:val="0"/>
          <w:sz w:val="32"/>
          <w:szCs w:val="32"/>
          <w:u w:val="none" w:color="auto"/>
        </w:rPr>
        <w:t>”。部门项目绩效评价得分情况详见单位具体绩效评价结果</w:t>
      </w:r>
      <w:r>
        <w:rPr>
          <w:rFonts w:hint="eastAsia" w:ascii="Times New Roman" w:hAnsi="Times New Roman" w:eastAsia="仿宋_GB2312" w:cs="Times New Roman"/>
          <w:kern w:val="0"/>
          <w:sz w:val="32"/>
          <w:szCs w:val="32"/>
          <w:u w:val="none" w:color="auto"/>
          <w:lang w:eastAsia="zh-CN"/>
        </w:rPr>
        <w:t>（</w:t>
      </w:r>
      <w:r>
        <w:rPr>
          <w:rFonts w:hint="eastAsia" w:ascii="Times New Roman" w:hAnsi="Times New Roman" w:eastAsia="仿宋_GB2312" w:cs="Times New Roman"/>
          <w:kern w:val="0"/>
          <w:sz w:val="32"/>
          <w:szCs w:val="32"/>
          <w:u w:val="none" w:color="auto"/>
          <w:lang w:val="en-US" w:eastAsia="zh-CN"/>
        </w:rPr>
        <w:t>附后）</w:t>
      </w:r>
      <w:r>
        <w:rPr>
          <w:rFonts w:hint="default" w:ascii="Times New Roman" w:hAnsi="Times New Roman" w:eastAsia="仿宋_GB2312" w:cs="Times New Roman"/>
          <w:kern w:val="0"/>
          <w:sz w:val="32"/>
          <w:szCs w:val="32"/>
          <w:u w:val="none" w:color="auto"/>
        </w:rPr>
        <w:t>。</w:t>
      </w:r>
    </w:p>
    <w:p w14:paraId="70A250DD">
      <w:pPr>
        <w:widowControl/>
        <w:spacing w:before="240" w:after="240"/>
        <w:jc w:val="left"/>
        <w:rPr>
          <w:rFonts w:hint="default" w:ascii="Times New Roman" w:hAnsi="Times New Roman" w:eastAsia="Times New Roman" w:cs="Times New Roman"/>
          <w:kern w:val="0"/>
          <w:sz w:val="24"/>
          <w:u w:val="none" w:color="auto"/>
        </w:rPr>
      </w:pPr>
      <w:r>
        <w:rPr>
          <w:rFonts w:hint="default" w:ascii="Times New Roman" w:hAnsi="Times New Roman" w:eastAsia="仿宋_GB2312" w:cs="Times New Roman"/>
          <w:color w:val="0E00FE"/>
          <w:kern w:val="0"/>
          <w:sz w:val="27"/>
          <w:szCs w:val="27"/>
          <w:u w:val="none" w:color="auto"/>
        </w:rPr>
        <w:t>   </w:t>
      </w:r>
    </w:p>
    <w:p w14:paraId="1E032422">
      <w:pPr>
        <w:pStyle w:val="3"/>
        <w:keepNext w:val="0"/>
        <w:keepLines w:val="0"/>
        <w:widowControl/>
        <w:spacing w:before="299" w:after="299" w:line="240" w:lineRule="auto"/>
        <w:jc w:val="center"/>
        <w:rPr>
          <w:rFonts w:hint="default" w:ascii="Times New Roman" w:hAnsi="Times New Roman" w:eastAsia="Times New Roman" w:cs="Times New Roman"/>
          <w:b/>
          <w:bCs/>
          <w:kern w:val="0"/>
          <w:sz w:val="36"/>
          <w:szCs w:val="36"/>
          <w:u w:val="none" w:color="auto"/>
        </w:rPr>
      </w:pPr>
      <w:r>
        <w:rPr>
          <w:rFonts w:hint="default" w:ascii="Times New Roman" w:hAnsi="Times New Roman" w:eastAsia="fang_zheng_xiao_biao_song_ti" w:cs="Times New Roman"/>
          <w:kern w:val="0"/>
          <w:sz w:val="36"/>
          <w:szCs w:val="36"/>
          <w:u w:val="none" w:color="auto"/>
        </w:rPr>
        <w:t>第三部分 名词解释</w:t>
      </w:r>
    </w:p>
    <w:p w14:paraId="5B833B50">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27"/>
          <w:szCs w:val="27"/>
          <w:u w:val="none" w:color="auto"/>
        </w:rPr>
        <w:t xml:space="preserve">    </w:t>
      </w:r>
      <w:r>
        <w:rPr>
          <w:rFonts w:hint="eastAsia" w:eastAsia="仿宋_GB2312" w:cs="Times New Roman"/>
          <w:b/>
          <w:bCs/>
          <w:kern w:val="0"/>
          <w:sz w:val="27"/>
          <w:szCs w:val="27"/>
          <w:u w:val="none" w:color="auto"/>
          <w:lang w:val="en-US" w:eastAsia="zh-CN"/>
        </w:rPr>
        <w:t xml:space="preserve"> </w:t>
      </w:r>
      <w:r>
        <w:rPr>
          <w:rFonts w:hint="default" w:ascii="Times New Roman" w:hAnsi="Times New Roman" w:eastAsia="仿宋_GB2312" w:cs="Times New Roman"/>
          <w:b/>
          <w:bCs/>
          <w:kern w:val="0"/>
          <w:sz w:val="32"/>
          <w:szCs w:val="32"/>
          <w:u w:val="none" w:color="auto"/>
        </w:rPr>
        <w:t>一、财政拨款收入：</w:t>
      </w:r>
      <w:r>
        <w:rPr>
          <w:rFonts w:hint="default" w:ascii="Times New Roman" w:hAnsi="Times New Roman" w:eastAsia="仿宋_GB2312" w:cs="Times New Roman"/>
          <w:kern w:val="0"/>
          <w:sz w:val="32"/>
          <w:szCs w:val="32"/>
          <w:u w:val="none" w:color="auto"/>
        </w:rPr>
        <w:t>从同级财政部门取得的各类财政拨款，包括一般公共预算财政拨款、政府性基金预算财政拨款、国有资本经营预算财政拨款。</w:t>
      </w:r>
    </w:p>
    <w:p w14:paraId="2B10735D">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w:t>
      </w:r>
      <w:r>
        <w:rPr>
          <w:rFonts w:hint="eastAsia" w:eastAsia="仿宋_GB2312" w:cs="Times New Roman"/>
          <w:b/>
          <w:bCs/>
          <w:kern w:val="0"/>
          <w:sz w:val="32"/>
          <w:szCs w:val="32"/>
          <w:u w:val="none" w:color="auto"/>
          <w:lang w:val="en-US" w:eastAsia="zh-CN"/>
        </w:rPr>
        <w:t xml:space="preserve"> 二</w:t>
      </w:r>
      <w:r>
        <w:rPr>
          <w:rFonts w:hint="default" w:ascii="Times New Roman" w:hAnsi="Times New Roman" w:eastAsia="仿宋_GB2312" w:cs="Times New Roman"/>
          <w:b/>
          <w:bCs/>
          <w:kern w:val="0"/>
          <w:sz w:val="32"/>
          <w:szCs w:val="32"/>
          <w:u w:val="none" w:color="auto"/>
        </w:rPr>
        <w:t>、其他收入：</w:t>
      </w:r>
      <w:r>
        <w:rPr>
          <w:rFonts w:hint="default" w:ascii="Times New Roman" w:hAnsi="Times New Roman" w:eastAsia="仿宋_GB2312" w:cs="Times New Roman"/>
          <w:kern w:val="0"/>
          <w:sz w:val="32"/>
          <w:szCs w:val="32"/>
          <w:u w:val="none" w:color="auto"/>
        </w:rPr>
        <w:t>取得的除上述财政拨款收入、上级补助收入、事业收入、经营收入、附属单位上缴收入等以外的各项收入。</w:t>
      </w:r>
    </w:p>
    <w:p w14:paraId="378E47B0">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xml:space="preserve">    </w:t>
      </w:r>
      <w:r>
        <w:rPr>
          <w:rFonts w:hint="eastAsia" w:eastAsia="仿宋_GB2312" w:cs="Times New Roman"/>
          <w:b/>
          <w:bCs/>
          <w:kern w:val="0"/>
          <w:sz w:val="32"/>
          <w:szCs w:val="32"/>
          <w:u w:val="none" w:color="auto"/>
          <w:lang w:val="en-US" w:eastAsia="zh-CN"/>
        </w:rPr>
        <w:t xml:space="preserve"> 三</w:t>
      </w:r>
      <w:r>
        <w:rPr>
          <w:rFonts w:hint="default" w:ascii="Times New Roman" w:hAnsi="Times New Roman" w:eastAsia="仿宋_GB2312" w:cs="Times New Roman"/>
          <w:b/>
          <w:bCs/>
          <w:kern w:val="0"/>
          <w:sz w:val="32"/>
          <w:szCs w:val="32"/>
          <w:u w:val="none" w:color="auto"/>
        </w:rPr>
        <w:t>、年初结转和结余：</w:t>
      </w:r>
      <w:r>
        <w:rPr>
          <w:rFonts w:hint="default" w:ascii="Times New Roman" w:hAnsi="Times New Roman" w:eastAsia="仿宋_GB2312" w:cs="Times New Roman"/>
          <w:kern w:val="0"/>
          <w:sz w:val="32"/>
          <w:szCs w:val="32"/>
          <w:u w:val="none" w:color="auto"/>
        </w:rPr>
        <w:t>指单位上年结转本年使用的基本支出结转、项目支出结转和结余、经营结余。</w:t>
      </w:r>
    </w:p>
    <w:p w14:paraId="7A901E3C">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w:t>
      </w:r>
      <w:r>
        <w:rPr>
          <w:rFonts w:hint="eastAsia" w:eastAsia="仿宋_GB2312" w:cs="Times New Roman"/>
          <w:b/>
          <w:bCs/>
          <w:kern w:val="0"/>
          <w:sz w:val="32"/>
          <w:szCs w:val="32"/>
          <w:u w:val="none" w:color="auto"/>
          <w:lang w:val="en-US" w:eastAsia="zh-CN"/>
        </w:rPr>
        <w:t xml:space="preserve"> 四</w:t>
      </w:r>
      <w:r>
        <w:rPr>
          <w:rFonts w:hint="default" w:ascii="Times New Roman" w:hAnsi="Times New Roman" w:eastAsia="仿宋_GB2312" w:cs="Times New Roman"/>
          <w:b/>
          <w:bCs/>
          <w:kern w:val="0"/>
          <w:sz w:val="32"/>
          <w:szCs w:val="32"/>
          <w:u w:val="none" w:color="auto"/>
        </w:rPr>
        <w:t>、年末结转和结余资金：</w:t>
      </w:r>
      <w:r>
        <w:rPr>
          <w:rFonts w:hint="default" w:ascii="Times New Roman" w:hAnsi="Times New Roman" w:eastAsia="仿宋_GB2312" w:cs="Times New Roman"/>
          <w:kern w:val="0"/>
          <w:sz w:val="32"/>
          <w:szCs w:val="32"/>
          <w:u w:val="none" w:color="auto"/>
        </w:rPr>
        <w:t>指单位结转下年的基本支出结转、项目支出结转和结余、经营结余。</w:t>
      </w:r>
    </w:p>
    <w:p w14:paraId="1DF7770B">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xml:space="preserve">    </w:t>
      </w:r>
      <w:r>
        <w:rPr>
          <w:rFonts w:hint="eastAsia" w:eastAsia="仿宋_GB2312" w:cs="Times New Roman"/>
          <w:b/>
          <w:bCs/>
          <w:kern w:val="0"/>
          <w:sz w:val="32"/>
          <w:szCs w:val="32"/>
          <w:u w:val="none" w:color="auto"/>
          <w:lang w:val="en-US" w:eastAsia="zh-CN"/>
        </w:rPr>
        <w:t xml:space="preserve"> 五</w:t>
      </w:r>
      <w:r>
        <w:rPr>
          <w:rFonts w:hint="default" w:ascii="Times New Roman" w:hAnsi="Times New Roman" w:eastAsia="仿宋_GB2312" w:cs="Times New Roman"/>
          <w:b/>
          <w:bCs/>
          <w:kern w:val="0"/>
          <w:sz w:val="32"/>
          <w:szCs w:val="32"/>
          <w:u w:val="none" w:color="auto"/>
        </w:rPr>
        <w:t>、基本支出：</w:t>
      </w:r>
      <w:r>
        <w:rPr>
          <w:rFonts w:hint="default" w:ascii="Times New Roman" w:hAnsi="Times New Roman" w:eastAsia="仿宋_GB2312" w:cs="Times New Roman"/>
          <w:kern w:val="0"/>
          <w:sz w:val="32"/>
          <w:szCs w:val="32"/>
          <w:u w:val="none" w:color="auto"/>
        </w:rPr>
        <w:t>指为保障机构正常运转、完成日常工作任务所发生的支出，包括人员经费和公用经费。</w:t>
      </w:r>
    </w:p>
    <w:p w14:paraId="19BD9CBB">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xml:space="preserve">    </w:t>
      </w:r>
      <w:r>
        <w:rPr>
          <w:rFonts w:hint="eastAsia" w:eastAsia="仿宋_GB2312" w:cs="Times New Roman"/>
          <w:b/>
          <w:bCs/>
          <w:kern w:val="0"/>
          <w:sz w:val="32"/>
          <w:szCs w:val="32"/>
          <w:u w:val="none" w:color="auto"/>
          <w:lang w:val="en-US" w:eastAsia="zh-CN"/>
        </w:rPr>
        <w:t xml:space="preserve"> 六</w:t>
      </w:r>
      <w:r>
        <w:rPr>
          <w:rFonts w:hint="default" w:ascii="Times New Roman" w:hAnsi="Times New Roman" w:eastAsia="仿宋_GB2312" w:cs="Times New Roman"/>
          <w:b/>
          <w:bCs/>
          <w:kern w:val="0"/>
          <w:sz w:val="32"/>
          <w:szCs w:val="32"/>
          <w:u w:val="none" w:color="auto"/>
        </w:rPr>
        <w:t>、项目支出：</w:t>
      </w:r>
      <w:r>
        <w:rPr>
          <w:rFonts w:hint="default" w:ascii="Times New Roman" w:hAnsi="Times New Roman" w:eastAsia="仿宋_GB2312" w:cs="Times New Roman"/>
          <w:kern w:val="0"/>
          <w:sz w:val="32"/>
          <w:szCs w:val="32"/>
          <w:u w:val="none" w:color="auto"/>
        </w:rPr>
        <w:t>指在为完成特定的行政工作任务或事业发展目标所发生的支出。</w:t>
      </w:r>
    </w:p>
    <w:p w14:paraId="508727F2">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w:t>
      </w:r>
      <w:r>
        <w:rPr>
          <w:rFonts w:hint="eastAsia" w:eastAsia="仿宋_GB2312" w:cs="Times New Roman"/>
          <w:b/>
          <w:bCs/>
          <w:kern w:val="0"/>
          <w:sz w:val="32"/>
          <w:szCs w:val="32"/>
          <w:u w:val="none" w:color="auto"/>
          <w:lang w:val="en-US" w:eastAsia="zh-CN"/>
        </w:rPr>
        <w:t xml:space="preserve">  </w:t>
      </w:r>
      <w:r>
        <w:rPr>
          <w:rFonts w:hint="default" w:ascii="Times New Roman" w:hAnsi="Times New Roman" w:eastAsia="仿宋_GB2312" w:cs="Times New Roman"/>
          <w:b/>
          <w:bCs/>
          <w:kern w:val="0"/>
          <w:sz w:val="32"/>
          <w:szCs w:val="32"/>
          <w:u w:val="none" w:color="auto"/>
        </w:rPr>
        <w:t>七、“三公”经费：</w:t>
      </w:r>
      <w:r>
        <w:rPr>
          <w:rFonts w:hint="default" w:ascii="Times New Roman" w:hAnsi="Times New Roman" w:eastAsia="仿宋_GB2312" w:cs="Times New Roman"/>
          <w:kern w:val="0"/>
          <w:sz w:val="32"/>
          <w:szCs w:val="32"/>
          <w:u w:val="none" w:color="auto"/>
        </w:rPr>
        <w:t>指部门（单位）用财政拨款安排的因公出国（境）费、公务用车购置及运行维护费和公务接待费。其中，因公出国（境）费反映部门（单位）)公务出国（境）的国际旅费、国外城市间交通费、住宿费、伙食费、培训费、公杂费等支出；公务用车购置及运行维护费反映部门（单位）公务用车购置支出（含车辆购置税、牌照费）以及按规定保留的公务用车燃料费、维修费、过路过桥费、保险费、安全奖励费用等支出；公务接待费反映部门（单位）按规定开支的各类公务接待（含外宾接待）费用。</w:t>
      </w:r>
    </w:p>
    <w:p w14:paraId="2995AEAD">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b/>
          <w:bCs/>
          <w:kern w:val="0"/>
          <w:sz w:val="32"/>
          <w:szCs w:val="32"/>
          <w:u w:val="none" w:color="auto"/>
        </w:rPr>
        <w:t xml:space="preserve">    </w:t>
      </w:r>
      <w:r>
        <w:rPr>
          <w:rFonts w:hint="eastAsia" w:eastAsia="仿宋_GB2312" w:cs="Times New Roman"/>
          <w:b/>
          <w:bCs/>
          <w:kern w:val="0"/>
          <w:sz w:val="32"/>
          <w:szCs w:val="32"/>
          <w:u w:val="none" w:color="auto"/>
          <w:lang w:val="en-US" w:eastAsia="zh-CN"/>
        </w:rPr>
        <w:t xml:space="preserve"> </w:t>
      </w:r>
      <w:r>
        <w:rPr>
          <w:rFonts w:hint="default" w:ascii="Times New Roman" w:hAnsi="Times New Roman" w:eastAsia="仿宋_GB2312" w:cs="Times New Roman"/>
          <w:b/>
          <w:bCs/>
          <w:kern w:val="0"/>
          <w:sz w:val="32"/>
          <w:szCs w:val="32"/>
          <w:u w:val="none" w:color="auto"/>
        </w:rPr>
        <w:t>八、机关运行经费：</w:t>
      </w:r>
      <w:r>
        <w:rPr>
          <w:rFonts w:hint="default" w:ascii="Times New Roman" w:hAnsi="Times New Roman" w:eastAsia="仿宋_GB2312" w:cs="Times New Roman"/>
          <w:color w:val="000000"/>
          <w:kern w:val="0"/>
          <w:sz w:val="32"/>
          <w:szCs w:val="32"/>
          <w:u w:val="none" w:color="auto"/>
        </w:rPr>
        <w:t>指行政单位和参照公务员法管理的事业单位财政拨款</w:t>
      </w:r>
      <w:r>
        <w:rPr>
          <w:rFonts w:hint="default" w:ascii="Times New Roman" w:hAnsi="Times New Roman" w:eastAsia="仿宋_GB2312" w:cs="Times New Roman"/>
          <w:kern w:val="0"/>
          <w:sz w:val="32"/>
          <w:szCs w:val="32"/>
          <w:u w:val="none" w:color="auto"/>
        </w:rPr>
        <w:t>基本支出中的公用经费支出，包括办公及印刷费、邮电费、差旅费、会议费、福利费、日常维修费、专用材料及一般设备购置费、办公用房水电费、办公用房取暖费、办公用房物业管理费、公务用车运行维护费及其他费用等。</w:t>
      </w:r>
    </w:p>
    <w:p w14:paraId="6F229563">
      <w:pPr>
        <w:widowControl/>
        <w:spacing w:before="240" w:after="240"/>
        <w:jc w:val="left"/>
        <w:rPr>
          <w:rFonts w:hint="default" w:ascii="Times New Roman" w:hAnsi="Times New Roman" w:eastAsia="Times New Roman" w:cs="Times New Roman"/>
          <w:kern w:val="0"/>
          <w:sz w:val="24"/>
          <w:u w:val="none" w:color="auto"/>
        </w:rPr>
      </w:pPr>
    </w:p>
    <w:p w14:paraId="2B7836B6">
      <w:pPr>
        <w:pStyle w:val="3"/>
        <w:keepNext w:val="0"/>
        <w:keepLines w:val="0"/>
        <w:widowControl/>
        <w:spacing w:before="299" w:after="299" w:line="240" w:lineRule="auto"/>
        <w:jc w:val="center"/>
        <w:rPr>
          <w:rFonts w:hint="default" w:ascii="Times New Roman" w:hAnsi="Times New Roman" w:eastAsia="Times New Roman" w:cs="Times New Roman"/>
          <w:b/>
          <w:bCs/>
          <w:kern w:val="0"/>
          <w:sz w:val="36"/>
          <w:szCs w:val="36"/>
          <w:u w:val="none" w:color="auto"/>
        </w:rPr>
      </w:pPr>
      <w:r>
        <w:rPr>
          <w:rFonts w:hint="default" w:ascii="Times New Roman" w:hAnsi="Times New Roman" w:eastAsia="fang_zheng_xiao_biao_song_ti" w:cs="Times New Roman"/>
          <w:kern w:val="0"/>
          <w:sz w:val="36"/>
          <w:szCs w:val="36"/>
          <w:u w:val="none" w:color="auto"/>
        </w:rPr>
        <w:t>第四部分 决算公开联系方式及信息反馈渠道</w:t>
      </w:r>
    </w:p>
    <w:p w14:paraId="722E7773">
      <w:pPr>
        <w:widowControl/>
        <w:spacing w:before="240" w:after="240"/>
        <w:jc w:val="left"/>
        <w:rPr>
          <w:rFonts w:hint="default" w:ascii="Times New Roman" w:hAnsi="Times New Roman" w:eastAsia="Times New Roman" w:cs="Times New Roman"/>
          <w:kern w:val="0"/>
          <w:sz w:val="32"/>
          <w:szCs w:val="32"/>
          <w:u w:val="none" w:color="auto"/>
        </w:rPr>
      </w:pPr>
      <w:r>
        <w:rPr>
          <w:rFonts w:hint="default" w:ascii="Times New Roman" w:hAnsi="Times New Roman" w:eastAsia="仿宋_GB2312" w:cs="Times New Roman"/>
          <w:kern w:val="0"/>
          <w:sz w:val="27"/>
          <w:szCs w:val="27"/>
          <w:u w:val="none" w:color="auto"/>
        </w:rPr>
        <w:t>   </w:t>
      </w:r>
      <w:r>
        <w:rPr>
          <w:rFonts w:hint="default" w:ascii="Times New Roman" w:hAnsi="Times New Roman" w:eastAsia="仿宋_GB2312" w:cs="Times New Roman"/>
          <w:kern w:val="0"/>
          <w:sz w:val="32"/>
          <w:szCs w:val="32"/>
          <w:u w:val="none" w:color="auto"/>
        </w:rPr>
        <w:t xml:space="preserve"> 本单位决算公开信息反馈和联系方式：</w:t>
      </w:r>
    </w:p>
    <w:p w14:paraId="5101B1D5">
      <w:pPr>
        <w:widowControl/>
        <w:spacing w:before="240" w:after="240"/>
        <w:ind w:firstLine="42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联系人：张静           联系电话：0477-8588409</w:t>
      </w:r>
    </w:p>
    <w:p w14:paraId="0547583C">
      <w:pPr>
        <w:pStyle w:val="3"/>
        <w:keepNext w:val="0"/>
        <w:keepLines w:val="0"/>
        <w:widowControl/>
        <w:spacing w:before="299" w:after="299" w:line="240" w:lineRule="auto"/>
        <w:jc w:val="center"/>
        <w:rPr>
          <w:rFonts w:hint="default" w:ascii="Times New Roman" w:hAnsi="Times New Roman" w:eastAsia="Times New Roman" w:cs="Times New Roman"/>
          <w:b/>
          <w:bCs/>
          <w:kern w:val="0"/>
          <w:sz w:val="36"/>
          <w:szCs w:val="36"/>
          <w:u w:val="none" w:color="auto"/>
        </w:rPr>
      </w:pPr>
      <w:r>
        <w:rPr>
          <w:rFonts w:hint="default" w:ascii="Times New Roman" w:hAnsi="Times New Roman" w:eastAsia="fang_zheng_xiao_biao_song_ti" w:cs="Times New Roman"/>
          <w:kern w:val="0"/>
          <w:sz w:val="36"/>
          <w:szCs w:val="36"/>
          <w:u w:val="none" w:color="auto"/>
        </w:rPr>
        <w:t>第五部分 单位决算表</w:t>
      </w:r>
    </w:p>
    <w:p w14:paraId="031BC591">
      <w:pPr>
        <w:widowControl/>
        <w:spacing w:before="240" w:after="240"/>
        <w:jc w:val="center"/>
        <w:rPr>
          <w:rFonts w:hint="default" w:ascii="Times New Roman" w:hAnsi="Times New Roman" w:eastAsia="Times New Roman" w:cs="Times New Roman"/>
          <w:kern w:val="0"/>
          <w:sz w:val="24"/>
          <w:u w:val="none" w:color="auto"/>
        </w:rPr>
      </w:pPr>
    </w:p>
    <w:p w14:paraId="1278AA80">
      <w:pPr>
        <w:widowControl/>
        <w:spacing w:before="240" w:after="240"/>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27"/>
          <w:szCs w:val="27"/>
          <w:u w:val="none" w:color="auto"/>
        </w:rPr>
        <w:t>   </w:t>
      </w:r>
      <w:r>
        <w:rPr>
          <w:rFonts w:hint="default" w:ascii="Times New Roman" w:hAnsi="Times New Roman" w:eastAsia="仿宋_GB2312" w:cs="Times New Roman"/>
          <w:kern w:val="0"/>
          <w:sz w:val="32"/>
          <w:szCs w:val="32"/>
          <w:u w:val="none" w:color="auto"/>
        </w:rPr>
        <w:t xml:space="preserve"> 一、收入支出决算总表</w:t>
      </w:r>
    </w:p>
    <w:p w14:paraId="40491189">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二、收入决算表</w:t>
      </w:r>
    </w:p>
    <w:p w14:paraId="0173C16F">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三、支出决算表</w:t>
      </w:r>
    </w:p>
    <w:p w14:paraId="1BB75579">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四、财政拨款收入支出决算总表</w:t>
      </w:r>
    </w:p>
    <w:p w14:paraId="26CF27AE">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五、一般公共预算财政拨款支出决算表</w:t>
      </w:r>
    </w:p>
    <w:p w14:paraId="597831E7">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六、一般公共预算财政拨款基本支出决算明细表</w:t>
      </w:r>
    </w:p>
    <w:p w14:paraId="35DBD5B5">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七、一般公共预算财政拨款项目支出决算明细表</w:t>
      </w:r>
    </w:p>
    <w:p w14:paraId="54FFD03F">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八、政府性基金预算财政拨款收入支出决算表</w:t>
      </w:r>
    </w:p>
    <w:p w14:paraId="3C58A6FB">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九、国有资本经营预算财政拨款支出决算表</w:t>
      </w:r>
    </w:p>
    <w:p w14:paraId="3071B7C2">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十、财政拨款“三公”经费支出决算表</w:t>
      </w:r>
    </w:p>
    <w:p w14:paraId="4A803DE2">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十一、机构运行经费支出、国有资产占用情况及政府采购支出信息表</w:t>
      </w:r>
    </w:p>
    <w:p w14:paraId="759B6F57">
      <w:pPr>
        <w:widowControl/>
        <w:spacing w:before="240" w:after="240"/>
        <w:ind w:left="0" w:leftChars="0" w:firstLine="496" w:firstLineChars="155"/>
        <w:jc w:val="left"/>
        <w:rPr>
          <w:rFonts w:hint="default" w:ascii="Times New Roman" w:hAnsi="Times New Roman" w:eastAsia="仿宋_GB2312" w:cs="Times New Roman"/>
          <w:kern w:val="0"/>
          <w:sz w:val="32"/>
          <w:szCs w:val="32"/>
          <w:u w:val="none" w:color="auto"/>
        </w:rPr>
      </w:pPr>
      <w:r>
        <w:rPr>
          <w:rFonts w:hint="default" w:ascii="Times New Roman" w:hAnsi="Times New Roman" w:eastAsia="仿宋_GB2312" w:cs="Times New Roman"/>
          <w:kern w:val="0"/>
          <w:sz w:val="32"/>
          <w:szCs w:val="32"/>
          <w:u w:val="none" w:color="auto"/>
        </w:rPr>
        <w:t>详见附件。</w:t>
      </w:r>
      <w:bookmarkEnd w:id="0"/>
    </w:p>
    <w:p w14:paraId="24E6C63C">
      <w:pPr>
        <w:pStyle w:val="3"/>
        <w:keepNext w:val="0"/>
        <w:keepLines w:val="0"/>
        <w:widowControl/>
        <w:spacing w:before="299" w:after="299" w:line="240" w:lineRule="auto"/>
        <w:jc w:val="center"/>
        <w:rPr>
          <w:rFonts w:hint="eastAsia" w:ascii="Times New Roman" w:hAnsi="Times New Roman" w:eastAsia="fang_zheng_xiao_biao_song_ti" w:cs="Times New Roman"/>
          <w:kern w:val="0"/>
          <w:sz w:val="32"/>
          <w:szCs w:val="32"/>
          <w:u w:val="none" w:color="auto"/>
        </w:rPr>
      </w:pPr>
      <w:r>
        <w:rPr>
          <w:rFonts w:hint="eastAsia" w:ascii="Times New Roman" w:hAnsi="Times New Roman" w:eastAsia="fang_zheng_xiao_biao_song_ti" w:cs="Times New Roman"/>
          <w:kern w:val="0"/>
          <w:sz w:val="32"/>
          <w:szCs w:val="32"/>
          <w:u w:val="none" w:color="auto"/>
        </w:rPr>
        <w:t>第六部分附件</w:t>
      </w:r>
    </w:p>
    <w:p w14:paraId="18AECD9D">
      <w:pPr>
        <w:widowControl/>
        <w:spacing w:before="240" w:after="240"/>
        <w:ind w:left="0" w:leftChars="0" w:firstLine="496" w:firstLineChars="155"/>
        <w:jc w:val="left"/>
        <w:rPr>
          <w:rFonts w:hint="eastAsia" w:ascii="Times New Roman" w:hAnsi="Times New Roman" w:eastAsia="仿宋_GB2312" w:cs="Times New Roman"/>
          <w:kern w:val="0"/>
          <w:sz w:val="32"/>
          <w:szCs w:val="32"/>
          <w:u w:val="none" w:color="auto"/>
        </w:rPr>
      </w:pPr>
      <w:r>
        <w:rPr>
          <w:rFonts w:hint="eastAsia" w:ascii="Times New Roman" w:hAnsi="Times New Roman" w:eastAsia="仿宋_GB2312" w:cs="Times New Roman"/>
          <w:kern w:val="0"/>
          <w:sz w:val="32"/>
          <w:szCs w:val="32"/>
          <w:u w:val="none" w:color="auto"/>
        </w:rPr>
        <w:t>详见附件。</w:t>
      </w:r>
    </w:p>
    <w:p w14:paraId="0814FB20">
      <w:pPr>
        <w:widowControl/>
        <w:spacing w:before="240" w:after="240"/>
        <w:ind w:left="0" w:leftChars="0" w:firstLine="496" w:firstLineChars="155"/>
        <w:jc w:val="left"/>
        <w:rPr>
          <w:rFonts w:hint="eastAsia" w:ascii="Times New Roman" w:hAnsi="Times New Roman" w:eastAsia="仿宋_GB2312" w:cs="Times New Roman"/>
          <w:kern w:val="0"/>
          <w:sz w:val="32"/>
          <w:szCs w:val="32"/>
          <w:u w:val="none" w:color="auto"/>
        </w:rPr>
      </w:pPr>
    </w:p>
    <w:p w14:paraId="02C95344">
      <w:pPr>
        <w:widowControl/>
        <w:spacing w:before="240" w:after="240"/>
        <w:ind w:left="0" w:leftChars="0" w:firstLine="498" w:firstLineChars="155"/>
        <w:jc w:val="left"/>
        <w:rPr>
          <w:rFonts w:hint="default" w:ascii="Times New Roman" w:hAnsi="Times New Roman" w:eastAsia="仿宋_GB2312" w:cs="Times New Roman"/>
          <w:kern w:val="0"/>
          <w:sz w:val="32"/>
          <w:szCs w:val="32"/>
          <w:u w:val="none" w:color="auto"/>
        </w:rPr>
      </w:pPr>
      <w:r>
        <w:rPr>
          <w:rFonts w:hint="eastAsia" w:ascii="Times New Roman" w:hAnsi="Times New Roman" w:eastAsia="仿宋_GB2312" w:cs="Times New Roman"/>
          <w:b/>
          <w:bCs/>
          <w:kern w:val="0"/>
          <w:sz w:val="32"/>
          <w:szCs w:val="32"/>
          <w:u w:val="none" w:color="auto"/>
        </w:rPr>
        <w:t>备注：</w:t>
      </w:r>
      <w:r>
        <w:rPr>
          <w:rFonts w:hint="eastAsia" w:ascii="Times New Roman" w:hAnsi="Times New Roman" w:eastAsia="仿宋_GB2312" w:cs="Times New Roman"/>
          <w:kern w:val="0"/>
          <w:sz w:val="32"/>
          <w:szCs w:val="32"/>
          <w:u w:val="none" w:color="auto"/>
        </w:rPr>
        <w:t>按决算公开编制要求，决算公开报告及公开表的计数单位为万元，而2024年决算编制是以元为计数单位，因此小数点后第二位存在四舍五入的差异。</w:t>
      </w:r>
    </w:p>
    <w:sectPr>
      <w:pgSz w:w="11906" w:h="16838"/>
      <w:pgMar w:top="1440" w:right="1083" w:bottom="1440" w:left="1083" w:header="0" w:footer="720"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imes_new_roman">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fang_zheng_xiao_biao_song_ti">
    <w:altName w:val="Segoe Print"/>
    <w:panose1 w:val="00000000000000000000"/>
    <w:charset w:val="00"/>
    <w:family w:val="auto"/>
    <w:pitch w:val="default"/>
    <w:sig w:usb0="00000000" w:usb1="00000000" w:usb2="00000000" w:usb3="00000000" w:csb0="00000000" w:csb1="00000000"/>
  </w:font>
  <w:font w:name="kai_ti_gb2312">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0677AB">
    <w:pPr>
      <w:jc w:val="center"/>
    </w:pPr>
    <w:r>
      <w:rPr>
        <w:rFonts w:ascii="宋体" w:hAnsi="宋体" w:eastAsia="宋体" w:cs="宋体"/>
        <w:sz w:val="18"/>
      </w:rPr>
      <w:fldChar w:fldCharType="begin"/>
    </w:r>
    <w:r>
      <w:rPr>
        <w:rFonts w:ascii="宋体" w:hAnsi="宋体" w:eastAsia="宋体" w:cs="宋体"/>
        <w:sz w:val="18"/>
      </w:rPr>
      <w:instrText xml:space="preserve"> PAGE </w:instrText>
    </w:r>
    <w:r>
      <w:rPr>
        <w:rFonts w:ascii="宋体" w:hAnsi="宋体" w:eastAsia="宋体" w:cs="宋体"/>
        <w:sz w:val="18"/>
      </w:rPr>
      <w:fldChar w:fldCharType="separate"/>
    </w:r>
    <w:r>
      <w:rPr>
        <w:rFonts w:ascii="宋体" w:hAnsi="宋体" w:eastAsia="宋体" w:cs="宋体"/>
        <w:sz w:val="18"/>
      </w:rPr>
      <w:t>1</w:t>
    </w:r>
    <w:r>
      <w:rPr>
        <w:rFonts w:ascii="宋体" w:hAnsi="宋体" w:eastAsia="宋体" w:cs="宋体"/>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199A52">
    <w:pPr>
      <w:pStyle w:val="11"/>
      <w:jc w:val="center"/>
    </w:pPr>
    <w:r>
      <w:fldChar w:fldCharType="begin"/>
    </w:r>
    <w:r>
      <w:instrText xml:space="preserve"> PAGE   \* MERGEFORMAT </w:instrText>
    </w:r>
    <w:r>
      <w:fldChar w:fldCharType="separate"/>
    </w:r>
    <w:r>
      <w:rPr>
        <w:lang w:val="zh-CN"/>
      </w:rPr>
      <w:t>26</w:t>
    </w:r>
    <w:r>
      <w:rPr>
        <w:lang w:val="zh-CN"/>
      </w:rPr>
      <w:fldChar w:fldCharType="end"/>
    </w:r>
  </w:p>
  <w:p w14:paraId="5A5A49DE">
    <w:pPr>
      <w:pStyle w:val="11"/>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662F"/>
    <w:rsid w:val="00023E75"/>
    <w:rsid w:val="00033C6A"/>
    <w:rsid w:val="00063AC2"/>
    <w:rsid w:val="000774F0"/>
    <w:rsid w:val="0008308B"/>
    <w:rsid w:val="00097269"/>
    <w:rsid w:val="000A769F"/>
    <w:rsid w:val="000D3889"/>
    <w:rsid w:val="0010682D"/>
    <w:rsid w:val="001620BF"/>
    <w:rsid w:val="001814D4"/>
    <w:rsid w:val="00183373"/>
    <w:rsid w:val="001E7634"/>
    <w:rsid w:val="00204509"/>
    <w:rsid w:val="00225D2E"/>
    <w:rsid w:val="0023107E"/>
    <w:rsid w:val="00233241"/>
    <w:rsid w:val="00297C52"/>
    <w:rsid w:val="00300987"/>
    <w:rsid w:val="0030784F"/>
    <w:rsid w:val="00312846"/>
    <w:rsid w:val="00367870"/>
    <w:rsid w:val="00375E79"/>
    <w:rsid w:val="003A4E85"/>
    <w:rsid w:val="003B3EAA"/>
    <w:rsid w:val="00482D36"/>
    <w:rsid w:val="00490629"/>
    <w:rsid w:val="0049507B"/>
    <w:rsid w:val="004A738F"/>
    <w:rsid w:val="004B1589"/>
    <w:rsid w:val="004B721F"/>
    <w:rsid w:val="004D7065"/>
    <w:rsid w:val="004E0B6C"/>
    <w:rsid w:val="005011E1"/>
    <w:rsid w:val="00505A51"/>
    <w:rsid w:val="0051384E"/>
    <w:rsid w:val="00521603"/>
    <w:rsid w:val="00536012"/>
    <w:rsid w:val="0054657E"/>
    <w:rsid w:val="0059054F"/>
    <w:rsid w:val="00596608"/>
    <w:rsid w:val="005B4139"/>
    <w:rsid w:val="005C13AB"/>
    <w:rsid w:val="00667493"/>
    <w:rsid w:val="006C017F"/>
    <w:rsid w:val="006E7255"/>
    <w:rsid w:val="007003B2"/>
    <w:rsid w:val="007402A0"/>
    <w:rsid w:val="00762248"/>
    <w:rsid w:val="00787000"/>
    <w:rsid w:val="007A7BA5"/>
    <w:rsid w:val="007B6706"/>
    <w:rsid w:val="007C1FDD"/>
    <w:rsid w:val="007D6292"/>
    <w:rsid w:val="00857D98"/>
    <w:rsid w:val="00894C48"/>
    <w:rsid w:val="00896385"/>
    <w:rsid w:val="008A10DB"/>
    <w:rsid w:val="008B5455"/>
    <w:rsid w:val="009125DD"/>
    <w:rsid w:val="00954CD9"/>
    <w:rsid w:val="009A5EF3"/>
    <w:rsid w:val="009D6904"/>
    <w:rsid w:val="009E1EE8"/>
    <w:rsid w:val="009E227B"/>
    <w:rsid w:val="009E308A"/>
    <w:rsid w:val="009F0536"/>
    <w:rsid w:val="00A147CF"/>
    <w:rsid w:val="00A270BE"/>
    <w:rsid w:val="00A36C1D"/>
    <w:rsid w:val="00A517A0"/>
    <w:rsid w:val="00A62486"/>
    <w:rsid w:val="00AB013A"/>
    <w:rsid w:val="00AD11A5"/>
    <w:rsid w:val="00AE47F5"/>
    <w:rsid w:val="00AF5F33"/>
    <w:rsid w:val="00B27D51"/>
    <w:rsid w:val="00B32BEE"/>
    <w:rsid w:val="00B373AF"/>
    <w:rsid w:val="00B4208A"/>
    <w:rsid w:val="00B57D7A"/>
    <w:rsid w:val="00B76620"/>
    <w:rsid w:val="00B840CE"/>
    <w:rsid w:val="00B96C3D"/>
    <w:rsid w:val="00BD0928"/>
    <w:rsid w:val="00BE5F73"/>
    <w:rsid w:val="00BF4228"/>
    <w:rsid w:val="00C07A30"/>
    <w:rsid w:val="00C352FF"/>
    <w:rsid w:val="00C44231"/>
    <w:rsid w:val="00CC6B8B"/>
    <w:rsid w:val="00CD3751"/>
    <w:rsid w:val="00D2051A"/>
    <w:rsid w:val="00D96390"/>
    <w:rsid w:val="00E219E7"/>
    <w:rsid w:val="00E30CE0"/>
    <w:rsid w:val="00E3602E"/>
    <w:rsid w:val="00E60D6A"/>
    <w:rsid w:val="00E73321"/>
    <w:rsid w:val="00E77EC0"/>
    <w:rsid w:val="00E914C1"/>
    <w:rsid w:val="00E97C37"/>
    <w:rsid w:val="00EE533B"/>
    <w:rsid w:val="00F03A2B"/>
    <w:rsid w:val="00F04882"/>
    <w:rsid w:val="00F63327"/>
    <w:rsid w:val="00F80A29"/>
    <w:rsid w:val="00FA7CA5"/>
    <w:rsid w:val="00FD08EC"/>
    <w:rsid w:val="00FD7690"/>
    <w:rsid w:val="01F84466"/>
    <w:rsid w:val="0A0759F5"/>
    <w:rsid w:val="0B264E52"/>
    <w:rsid w:val="187316BC"/>
    <w:rsid w:val="2F743459"/>
    <w:rsid w:val="39356F0F"/>
    <w:rsid w:val="3AC72C52"/>
    <w:rsid w:val="4BCB40E3"/>
    <w:rsid w:val="4DE15AE1"/>
    <w:rsid w:val="51CD438B"/>
    <w:rsid w:val="548C5D13"/>
    <w:rsid w:val="5BD54AB6"/>
    <w:rsid w:val="5D2C084C"/>
    <w:rsid w:val="66682803"/>
    <w:rsid w:val="69A73A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4">
    <w:name w:val="heading 3"/>
    <w:basedOn w:val="1"/>
    <w:next w:val="1"/>
    <w:link w:val="27"/>
    <w:qFormat/>
    <w:uiPriority w:val="0"/>
    <w:pPr>
      <w:keepNext/>
      <w:keepLines/>
      <w:spacing w:before="260" w:after="260" w:line="416" w:lineRule="auto"/>
      <w:outlineLvl w:val="2"/>
    </w:pPr>
    <w:rPr>
      <w:b/>
      <w:bCs/>
      <w:sz w:val="32"/>
      <w:szCs w:val="32"/>
    </w:rPr>
  </w:style>
  <w:style w:type="paragraph" w:styleId="5">
    <w:name w:val="heading 4"/>
    <w:basedOn w:val="1"/>
    <w:next w:val="1"/>
    <w:link w:val="22"/>
    <w:qFormat/>
    <w:uiPriority w:val="0"/>
    <w:pPr>
      <w:keepNext/>
      <w:keepLines/>
      <w:spacing w:before="280" w:after="290" w:line="376" w:lineRule="auto"/>
      <w:outlineLvl w:val="3"/>
    </w:pPr>
    <w:rPr>
      <w:rFonts w:ascii="Cambria" w:hAnsi="Cambria"/>
      <w:b/>
      <w:bCs/>
      <w:sz w:val="28"/>
      <w:szCs w:val="28"/>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6">
    <w:name w:val="toc 7"/>
    <w:basedOn w:val="1"/>
    <w:next w:val="1"/>
    <w:qFormat/>
    <w:uiPriority w:val="0"/>
    <w:pPr>
      <w:ind w:left="1260"/>
      <w:jc w:val="left"/>
    </w:pPr>
    <w:rPr>
      <w:sz w:val="20"/>
      <w:szCs w:val="20"/>
    </w:rPr>
  </w:style>
  <w:style w:type="paragraph" w:styleId="7">
    <w:name w:val="Document Map"/>
    <w:basedOn w:val="1"/>
    <w:qFormat/>
    <w:uiPriority w:val="0"/>
    <w:pPr>
      <w:shd w:val="clear" w:color="auto" w:fill="000080"/>
    </w:pPr>
  </w:style>
  <w:style w:type="paragraph" w:styleId="8">
    <w:name w:val="toc 5"/>
    <w:basedOn w:val="1"/>
    <w:next w:val="1"/>
    <w:qFormat/>
    <w:uiPriority w:val="0"/>
    <w:pPr>
      <w:ind w:left="840"/>
      <w:jc w:val="left"/>
    </w:pPr>
    <w:rPr>
      <w:sz w:val="20"/>
      <w:szCs w:val="20"/>
    </w:rPr>
  </w:style>
  <w:style w:type="paragraph" w:styleId="9">
    <w:name w:val="toc 3"/>
    <w:basedOn w:val="1"/>
    <w:next w:val="1"/>
    <w:qFormat/>
    <w:uiPriority w:val="0"/>
    <w:pPr>
      <w:adjustRightInd w:val="0"/>
      <w:snapToGrid w:val="0"/>
      <w:spacing w:line="360" w:lineRule="auto"/>
      <w:ind w:firstLine="400" w:firstLineChars="400"/>
      <w:jc w:val="left"/>
    </w:pPr>
    <w:rPr>
      <w:sz w:val="24"/>
      <w:szCs w:val="20"/>
    </w:rPr>
  </w:style>
  <w:style w:type="paragraph" w:styleId="10">
    <w:name w:val="toc 8"/>
    <w:basedOn w:val="1"/>
    <w:next w:val="1"/>
    <w:qFormat/>
    <w:uiPriority w:val="0"/>
    <w:pPr>
      <w:ind w:left="1470"/>
      <w:jc w:val="left"/>
    </w:pPr>
    <w:rPr>
      <w:sz w:val="20"/>
      <w:szCs w:val="20"/>
    </w:rPr>
  </w:style>
  <w:style w:type="paragraph" w:styleId="11">
    <w:name w:val="footer"/>
    <w:basedOn w:val="1"/>
    <w:link w:val="25"/>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toc 1"/>
    <w:basedOn w:val="1"/>
    <w:next w:val="1"/>
    <w:qFormat/>
    <w:uiPriority w:val="0"/>
    <w:pPr>
      <w:adjustRightInd w:val="0"/>
      <w:snapToGrid w:val="0"/>
      <w:spacing w:line="360" w:lineRule="auto"/>
      <w:jc w:val="left"/>
    </w:pPr>
    <w:rPr>
      <w:b/>
      <w:bCs/>
      <w:sz w:val="24"/>
      <w:szCs w:val="20"/>
    </w:rPr>
  </w:style>
  <w:style w:type="paragraph" w:styleId="14">
    <w:name w:val="toc 4"/>
    <w:basedOn w:val="1"/>
    <w:next w:val="1"/>
    <w:qFormat/>
    <w:uiPriority w:val="0"/>
    <w:pPr>
      <w:ind w:left="630"/>
      <w:jc w:val="left"/>
    </w:pPr>
    <w:rPr>
      <w:sz w:val="20"/>
      <w:szCs w:val="20"/>
    </w:rPr>
  </w:style>
  <w:style w:type="paragraph" w:styleId="15">
    <w:name w:val="toc 6"/>
    <w:basedOn w:val="1"/>
    <w:next w:val="1"/>
    <w:qFormat/>
    <w:uiPriority w:val="0"/>
    <w:pPr>
      <w:ind w:left="1050"/>
      <w:jc w:val="left"/>
    </w:pPr>
    <w:rPr>
      <w:sz w:val="20"/>
      <w:szCs w:val="20"/>
    </w:rPr>
  </w:style>
  <w:style w:type="paragraph" w:styleId="16">
    <w:name w:val="toc 2"/>
    <w:basedOn w:val="1"/>
    <w:next w:val="1"/>
    <w:qFormat/>
    <w:uiPriority w:val="0"/>
    <w:pPr>
      <w:adjustRightInd w:val="0"/>
      <w:snapToGrid w:val="0"/>
      <w:spacing w:line="360" w:lineRule="auto"/>
      <w:ind w:firstLine="200" w:firstLineChars="200"/>
      <w:jc w:val="left"/>
    </w:pPr>
    <w:rPr>
      <w:iCs/>
      <w:sz w:val="24"/>
      <w:szCs w:val="20"/>
    </w:rPr>
  </w:style>
  <w:style w:type="paragraph" w:styleId="17">
    <w:name w:val="toc 9"/>
    <w:basedOn w:val="1"/>
    <w:next w:val="1"/>
    <w:qFormat/>
    <w:uiPriority w:val="0"/>
    <w:pPr>
      <w:ind w:left="1680"/>
      <w:jc w:val="left"/>
    </w:pPr>
    <w:rPr>
      <w:sz w:val="20"/>
      <w:szCs w:val="20"/>
    </w:rPr>
  </w:style>
  <w:style w:type="character" w:styleId="20">
    <w:name w:val="page number"/>
    <w:basedOn w:val="19"/>
    <w:qFormat/>
    <w:uiPriority w:val="0"/>
  </w:style>
  <w:style w:type="character" w:styleId="21">
    <w:name w:val="Hyperlink"/>
    <w:basedOn w:val="19"/>
    <w:qFormat/>
    <w:uiPriority w:val="0"/>
    <w:rPr>
      <w:color w:val="0000FF"/>
      <w:u w:val="single"/>
    </w:rPr>
  </w:style>
  <w:style w:type="character" w:customStyle="1" w:styleId="22">
    <w:name w:val="标题 4 Char"/>
    <w:basedOn w:val="19"/>
    <w:link w:val="5"/>
    <w:qFormat/>
    <w:uiPriority w:val="0"/>
    <w:rPr>
      <w:rFonts w:ascii="Cambria" w:hAnsi="Cambria"/>
      <w:b/>
      <w:bCs/>
      <w:kern w:val="2"/>
      <w:sz w:val="28"/>
      <w:szCs w:val="28"/>
    </w:rPr>
  </w:style>
  <w:style w:type="paragraph" w:styleId="23">
    <w:name w:val="No Spacing"/>
    <w:link w:val="24"/>
    <w:qFormat/>
    <w:uiPriority w:val="0"/>
    <w:pPr>
      <w:ind w:firstLine="200" w:firstLineChars="200"/>
    </w:pPr>
    <w:rPr>
      <w:rFonts w:ascii="Times New Roman" w:hAnsi="Times New Roman" w:eastAsia="仿宋_GB2312" w:cs="Times New Roman"/>
      <w:sz w:val="30"/>
      <w:szCs w:val="22"/>
      <w:lang w:val="en-US" w:eastAsia="zh-CN" w:bidi="ar-SA"/>
    </w:rPr>
  </w:style>
  <w:style w:type="character" w:customStyle="1" w:styleId="24">
    <w:name w:val="无间隔 Char"/>
    <w:link w:val="23"/>
    <w:qFormat/>
    <w:locked/>
    <w:uiPriority w:val="0"/>
    <w:rPr>
      <w:rFonts w:eastAsia="仿宋_GB2312"/>
      <w:sz w:val="30"/>
      <w:szCs w:val="22"/>
      <w:lang w:bidi="ar-SA"/>
    </w:rPr>
  </w:style>
  <w:style w:type="character" w:customStyle="1" w:styleId="25">
    <w:name w:val="页脚 Char"/>
    <w:basedOn w:val="19"/>
    <w:link w:val="11"/>
    <w:qFormat/>
    <w:uiPriority w:val="0"/>
    <w:rPr>
      <w:kern w:val="2"/>
      <w:sz w:val="18"/>
      <w:szCs w:val="18"/>
    </w:rPr>
  </w:style>
  <w:style w:type="paragraph" w:styleId="26">
    <w:name w:val="List Paragraph"/>
    <w:basedOn w:val="1"/>
    <w:qFormat/>
    <w:uiPriority w:val="0"/>
    <w:pPr>
      <w:ind w:firstLine="420" w:firstLineChars="200"/>
    </w:pPr>
  </w:style>
  <w:style w:type="character" w:customStyle="1" w:styleId="27">
    <w:name w:val="标题 3 Char"/>
    <w:basedOn w:val="19"/>
    <w:link w:val="4"/>
    <w:qFormat/>
    <w:uiPriority w:val="0"/>
    <w:rPr>
      <w:b/>
      <w:bCs/>
      <w:kern w:val="2"/>
      <w:sz w:val="32"/>
      <w:szCs w:val="32"/>
    </w:rPr>
  </w:style>
  <w:style w:type="paragraph" w:customStyle="1" w:styleId="28">
    <w:name w:val="MsoNormal"/>
    <w:basedOn w:val="1"/>
    <w:qFormat/>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2.pn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r="http://schemas.openxmlformats.org/officeDocument/2006/relationships" xmlns:w="http://schemas.openxmlformats.org/wordprocessingml/2006/main"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mc="http://schemas.openxmlformats.org/markup-compatibility/2006"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ps="http://schemas.microsoft.com/office/word/2010/wordprocessingShape"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SelectedStyle="\APASixthEditionOfficeOnline.xsl" StyleName="APA"/>
</file>

<file path=customXml/itemProps1.xml><?xml version="1.0" encoding="utf-8"?>
<ds:datastoreItem xmlns:ds="http://schemas.openxmlformats.org/officeDocument/2006/customXml" ds:itemID="{1EFD8714-0FA9-4C6D-A463-F07367D20AE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48</Pages>
  <Words>15937</Words>
  <Characters>17664</Characters>
  <Lines>1</Lines>
  <Paragraphs>1</Paragraphs>
  <TotalTime>21</TotalTime>
  <ScaleCrop>false</ScaleCrop>
  <LinksUpToDate>false</LinksUpToDate>
  <CharactersWithSpaces>17774</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2022-03-23T12:40:00Z</dcterms:created>
  <dc:creator>Administrator</dc:creator>
  <cp:lastModifiedBy>豆子</cp:lastModifiedBy>
  <cp:lastPrinted>2021-04-16T00:45:00Z</cp:lastPrinted>
  <dcterms:modified xsi:type="dcterms:W3CDTF">2025-09-26T06:51:05Z</dcterms:modified>
  <dc:title>××年度××部门/单位</dc:title>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611238F30D8A411DBAB9B55681FC0BF8_12</vt:lpwstr>
  </property>
  <property fmtid="{D5CDD505-2E9C-101B-9397-08002B2CF9AE}" pid="3" name="KSOProductBuildVer">
    <vt:lpwstr>2052-12.1.0.22529</vt:lpwstr>
  </property>
  <property fmtid="{D5CDD505-2E9C-101B-9397-08002B2CF9AE}" pid="4" name="KSOTemplateDocerSaveRecord">
    <vt:lpwstr>eyJoZGlkIjoiZDdmOWM5MjE1NTFkZjk1YjVkNDVhNTc1ZWEyN2QzY2UiLCJ1c2VySWQiOiI0MjU1MjUwMDAifQ==</vt:lpwstr>
  </property>
</Properties>
</file>