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8"/>
        <w:framePr w:wrap="around"/>
      </w:pPr>
    </w:p>
    <w:p>
      <w:pPr>
        <w:pStyle w:val="118"/>
        <w:framePr w:wrap="around"/>
      </w:pP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8"/>
              <w:framePr w:wrap="around"/>
            </w:pPr>
            <w:r>
              <w:pict>
                <v:rect id="BAH" o:spid="_x0000_s1039" o:spt="1" style="position:absolute;left:0pt;margin-left:-5.25pt;margin-top:0pt;height:15.6pt;width:68.25pt;z-index:-251652096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4"/>
        <w:framePr w:wrap="around"/>
      </w:pPr>
      <w:r>
        <w:t>Q/</w:t>
      </w:r>
      <w:r>
        <w:rPr>
          <w:rFonts w:hint="eastAsia"/>
        </w:rPr>
        <w:t>WYST</w:t>
      </w:r>
    </w:p>
    <w:p>
      <w:pPr>
        <w:pStyle w:val="105"/>
        <w:framePr w:wrap="around"/>
        <w:rPr>
          <w:rFonts w:ascii="Times New Roman" w:hAnsi="Times New Roman"/>
        </w:rPr>
      </w:pPr>
      <w:r>
        <w:rPr>
          <w:rFonts w:hint="eastAsia"/>
        </w:rPr>
        <w:t>鄂尔多斯市沃源生态建设有限责任公司企业标</w:t>
      </w:r>
      <w:r>
        <w:rPr>
          <w:rFonts w:hint="eastAsia" w:ascii="Times New Roman" w:hAnsi="Times New Roman"/>
        </w:rPr>
        <w:t>准</w:t>
      </w:r>
    </w:p>
    <w:p>
      <w:pPr>
        <w:pStyle w:val="42"/>
        <w:framePr w:wrap="around"/>
        <w:rPr>
          <w:rFonts w:hAnsi="黑体"/>
        </w:rPr>
      </w:pPr>
      <w:r>
        <w:rPr>
          <w:rFonts w:ascii="Times New Roman"/>
        </w:rPr>
        <w:t>Q/</w:t>
      </w:r>
      <w:r>
        <w:rPr>
          <w:rFonts w:hint="eastAsia" w:ascii="Times New Roman"/>
        </w:rPr>
        <w:t>WYST</w:t>
      </w:r>
      <w:r>
        <w:rPr>
          <w:rFonts w:hAnsi="黑体"/>
        </w:rPr>
        <w:t xml:space="preserve"> </w:t>
      </w:r>
      <w:r>
        <w:rPr>
          <w:rFonts w:hint="eastAsia" w:hAnsi="黑体"/>
        </w:rPr>
        <w:t>0001S</w:t>
      </w:r>
      <w:r>
        <w:rPr>
          <w:rFonts w:hAnsi="黑体"/>
        </w:rPr>
        <w:t>—</w:t>
      </w:r>
      <w:r>
        <w:rPr>
          <w:rFonts w:hint="eastAsia" w:hAnsi="黑体"/>
        </w:rPr>
        <w:t>2024</w:t>
      </w: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1"/>
              <w:framePr w:wrap="around"/>
            </w:pPr>
            <w:bookmarkStart w:id="0" w:name="DT"/>
            <w:r>
              <w:pict>
                <v:rect id="DT" o:spid="_x0000_s1036" o:spt="1" style="position:absolute;left:0pt;margin-left:372.8pt;margin-top:2.7pt;height:18pt;width:9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0"/>
          </w:p>
        </w:tc>
      </w:tr>
    </w:tbl>
    <w:p>
      <w:pPr>
        <w:pStyle w:val="42"/>
        <w:framePr w:wrap="around"/>
        <w:rPr>
          <w:rFonts w:hAnsi="黑体"/>
        </w:rPr>
      </w:pPr>
    </w:p>
    <w:p>
      <w:pPr>
        <w:pStyle w:val="42"/>
        <w:framePr w:wrap="around"/>
        <w:rPr>
          <w:rFonts w:hAnsi="黑体"/>
        </w:rPr>
      </w:pPr>
    </w:p>
    <w:p>
      <w:pPr>
        <w:pStyle w:val="73"/>
        <w:framePr w:wrap="around"/>
      </w:pPr>
      <w:r>
        <w:rPr>
          <w:rFonts w:hint="eastAsia"/>
        </w:rPr>
        <w:t>沙蒿籽（粉）</w:t>
      </w:r>
    </w:p>
    <w:p>
      <w:pPr>
        <w:pStyle w:val="74"/>
        <w:framePr w:wrap="around"/>
      </w:pPr>
    </w:p>
    <w:p>
      <w:pPr>
        <w:pStyle w:val="75"/>
        <w:framePr w:wrap="around"/>
      </w:pP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6"/>
              <w:framePr w:wrap="around"/>
            </w:pPr>
            <w:r>
              <w:pict>
                <v:rect id="RQ" o:spid="_x0000_s1038" o:spt="1" style="position:absolute;left:0pt;margin-left:173.3pt;margin-top:45.15pt;height:20pt;width:150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37" o:spt="1" style="position:absolute;left:0pt;margin-left:193.3pt;margin-top:20.15pt;height:24pt;width:10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 w:wrap="around"/>
            </w:pPr>
          </w:p>
        </w:tc>
      </w:tr>
    </w:tbl>
    <w:p>
      <w:pPr>
        <w:pStyle w:val="125"/>
        <w:framePr w:wrap="around"/>
      </w:pPr>
      <w:r>
        <w:rPr>
          <w:rFonts w:hint="eastAsia" w:ascii="黑体"/>
        </w:rPr>
        <w:t>2024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04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10</w:t>
      </w:r>
      <w:r>
        <w:rPr>
          <w:rFonts w:hint="eastAsia"/>
        </w:rPr>
        <w:t>发布</w:t>
      </w:r>
      <w:r>
        <w:pict>
          <v:line id="_x0000_s1034" o:spid="_x0000_s1034" o:spt="20" style="position:absolute;left:0pt;margin-left:-0.05pt;margin-top:728.5pt;height:0pt;width:481.9pt;mso-position-vertic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6"/>
        <w:framePr w:wrap="around"/>
      </w:pPr>
      <w:r>
        <w:rPr>
          <w:rFonts w:hint="eastAsia" w:ascii="黑体"/>
        </w:rPr>
        <w:t>2024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04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30</w:t>
      </w:r>
      <w:r>
        <w:rPr>
          <w:rFonts w:hint="eastAsia"/>
        </w:rPr>
        <w:t>实施</w:t>
      </w:r>
    </w:p>
    <w:p>
      <w:pPr>
        <w:pStyle w:val="106"/>
        <w:framePr w:w="8576" w:wrap="around" w:x="2036" w:y="14971"/>
      </w:pPr>
      <w:r>
        <w:rPr>
          <w:rFonts w:hint="eastAsia"/>
        </w:rPr>
        <w:t xml:space="preserve">鄂尔多斯市沃源生态建设有限责任公司 </w:t>
      </w:r>
      <w:r>
        <w:rPr>
          <w:rStyle w:val="68"/>
          <w:rFonts w:hint="eastAsia"/>
        </w:rPr>
        <w:t>发布</w:t>
      </w:r>
    </w:p>
    <w:p>
      <w:pPr>
        <w:pStyle w:val="20"/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35" o:spid="_x0000_s1035" o:spt="20" style="position:absolute;left:0pt;margin-left:-0.05pt;margin-top:184.25pt;height:0pt;width:481.9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7"/>
        <w:rPr>
          <w:rFonts w:hint="eastAsia"/>
        </w:rPr>
      </w:pPr>
      <w:r>
        <w:rPr>
          <w:rFonts w:hint="eastAsia"/>
        </w:rPr>
        <w:t>前</w:t>
      </w:r>
      <w:bookmarkStart w:id="1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"/>
    </w:p>
    <w:p>
      <w:pPr>
        <w:pStyle w:val="20"/>
        <w:ind w:firstLine="525" w:firstLineChars="250"/>
      </w:pPr>
      <w:r>
        <w:rPr>
          <w:rFonts w:hint="eastAsia" w:hAnsi="宋体"/>
        </w:rPr>
        <w:t>本标准按照GB/T 1.1的规定编写。</w:t>
      </w:r>
    </w:p>
    <w:p>
      <w:pPr>
        <w:pStyle w:val="20"/>
        <w:ind w:firstLine="525" w:firstLineChars="250"/>
        <w:rPr>
          <w:rFonts w:hint="eastAsia"/>
        </w:rPr>
      </w:pPr>
      <w:r>
        <w:rPr>
          <w:rFonts w:hint="eastAsia" w:hAnsi="宋体"/>
        </w:rPr>
        <w:t>本标准由鄂尔多斯市沃源生态建设有限责任公司提出。</w:t>
      </w:r>
    </w:p>
    <w:p>
      <w:pPr>
        <w:pStyle w:val="20"/>
        <w:ind w:firstLine="525" w:firstLineChars="250"/>
        <w:rPr>
          <w:rFonts w:hint="eastAsia"/>
        </w:rPr>
      </w:pPr>
      <w:r>
        <w:rPr>
          <w:rFonts w:hint="eastAsia" w:hAnsi="宋体"/>
        </w:rPr>
        <w:t>本标准由鄂尔多斯市沃源生态建设有限责任公司起草。</w:t>
      </w:r>
    </w:p>
    <w:p>
      <w:pPr>
        <w:pStyle w:val="20"/>
        <w:ind w:firstLine="525" w:firstLineChars="250"/>
        <w:rPr>
          <w:rFonts w:hint="eastAsia"/>
        </w:rPr>
      </w:pPr>
      <w:r>
        <w:rPr>
          <w:rFonts w:hint="eastAsia" w:hAnsi="宋体"/>
        </w:rPr>
        <w:t>本标准由鄂尔多斯市沃源生态建设有限责任公司批准。</w:t>
      </w:r>
    </w:p>
    <w:p>
      <w:pPr>
        <w:pStyle w:val="20"/>
        <w:ind w:firstLine="525" w:firstLineChars="250"/>
        <w:rPr>
          <w:rFonts w:hint="eastAsia" w:hAnsi="宋体"/>
        </w:rPr>
      </w:pPr>
      <w:r>
        <w:rPr>
          <w:rFonts w:hint="eastAsia" w:hAnsi="宋体"/>
        </w:rPr>
        <w:t>本标准起草人：何海洋。</w:t>
      </w:r>
    </w:p>
    <w:p>
      <w:pPr>
        <w:pStyle w:val="20"/>
        <w:ind w:firstLine="0" w:firstLineChars="0"/>
        <w:rPr>
          <w:rFonts w:hint="eastAsia" w:hAnsi="宋体"/>
        </w:rPr>
      </w:pPr>
      <w:r>
        <w:rPr>
          <w:rFonts w:hint="eastAsia" w:hAnsi="宋体"/>
        </w:rPr>
        <w:t xml:space="preserve">     本标准适用于：鄂尔多斯市沃源生态建设有限责任公司、</w:t>
      </w:r>
    </w:p>
    <w:p>
      <w:pPr>
        <w:pStyle w:val="20"/>
        <w:ind w:firstLine="0" w:firstLineChars="0"/>
        <w:rPr>
          <w:rFonts w:hAnsi="宋体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 w:hAnsi="宋体"/>
        </w:rPr>
        <w:t xml:space="preserve">                   杭锦旗巴拉贡镇沃源特产超市。</w:t>
      </w:r>
    </w:p>
    <w:p>
      <w:pPr>
        <w:pStyle w:val="45"/>
        <w:rPr>
          <w:rFonts w:hint="eastAsia"/>
        </w:rPr>
      </w:pPr>
      <w:r>
        <w:rPr>
          <w:rFonts w:hint="eastAsia"/>
        </w:rPr>
        <w:t>沙蒿籽（粉）</w:t>
      </w:r>
    </w:p>
    <w:p>
      <w:pPr>
        <w:pStyle w:val="40"/>
        <w:rPr>
          <w:rFonts w:hint="eastAsia"/>
        </w:rPr>
      </w:pPr>
      <w:r>
        <w:rPr>
          <w:rFonts w:hint="eastAsia"/>
        </w:rPr>
        <w:t>范围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本标准规定了沙蒿籽（粉）的技术要求、生产加工过程要求、标志、包装、运输和贮存。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本标准适用于以沙蒿籽为原料，经挑选、去沙、精选、磨粉、筛分、包装而制成的非即食沙蒿籽（粉）。</w:t>
      </w:r>
    </w:p>
    <w:p>
      <w:pPr>
        <w:pStyle w:val="40"/>
        <w:rPr>
          <w:rFonts w:hint="eastAsia"/>
        </w:rPr>
      </w:pPr>
      <w:r>
        <w:rPr>
          <w:rFonts w:hint="eastAsia"/>
        </w:rPr>
        <w:t>规范性引用文件</w:t>
      </w:r>
    </w:p>
    <w:p>
      <w:pPr>
        <w:pStyle w:val="20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0"/>
        <w:rPr>
          <w:rFonts w:hint="eastAsia"/>
        </w:rPr>
      </w:pPr>
      <w:r>
        <w:rPr>
          <w:rFonts w:hint="eastAsia"/>
        </w:rPr>
        <w:t>GB 2761  食品安全国家标准  食品中真菌毒素限量</w:t>
      </w:r>
    </w:p>
    <w:p>
      <w:pPr>
        <w:pStyle w:val="20"/>
        <w:rPr>
          <w:rFonts w:hint="eastAsia"/>
        </w:rPr>
      </w:pPr>
      <w:r>
        <w:rPr>
          <w:rFonts w:hint="eastAsia"/>
        </w:rPr>
        <w:t>GB 2762  食品安全国家标准  食品中污染物限量</w:t>
      </w:r>
    </w:p>
    <w:p>
      <w:pPr>
        <w:pStyle w:val="20"/>
        <w:rPr>
          <w:rFonts w:hint="eastAsia"/>
        </w:rPr>
      </w:pPr>
      <w:r>
        <w:rPr>
          <w:rFonts w:hint="eastAsia"/>
        </w:rPr>
        <w:t>GB 4806.1  食品安全国家标准  食品接触材料及制品通用安全要求</w:t>
      </w:r>
    </w:p>
    <w:p>
      <w:pPr>
        <w:pStyle w:val="20"/>
        <w:rPr>
          <w:rFonts w:hint="eastAsia"/>
        </w:rPr>
      </w:pPr>
      <w:r>
        <w:rPr>
          <w:rFonts w:hint="eastAsia"/>
        </w:rPr>
        <w:t>GB 4806.7  食品安全国家标准  食品接触用塑料材料及制品</w:t>
      </w:r>
    </w:p>
    <w:p>
      <w:pPr>
        <w:pStyle w:val="20"/>
        <w:rPr>
          <w:rFonts w:hint="eastAsia"/>
        </w:rPr>
      </w:pPr>
      <w:r>
        <w:rPr>
          <w:rFonts w:hint="eastAsia"/>
        </w:rPr>
        <w:t>GB 4806.8  食品安全国家标准  食品接触用纸和纸板材料及制品</w:t>
      </w:r>
    </w:p>
    <w:p>
      <w:pPr>
        <w:pStyle w:val="20"/>
        <w:rPr>
          <w:rFonts w:hint="eastAsia"/>
        </w:rPr>
      </w:pPr>
      <w:r>
        <w:rPr>
          <w:rFonts w:hint="eastAsia"/>
        </w:rPr>
        <w:t>GB 5009.12  食品安全国家标准  食品中铅的测定</w:t>
      </w:r>
    </w:p>
    <w:p>
      <w:pPr>
        <w:pStyle w:val="20"/>
        <w:rPr>
          <w:rFonts w:hint="eastAsia"/>
        </w:rPr>
      </w:pPr>
      <w:r>
        <w:rPr>
          <w:rFonts w:hint="eastAsia"/>
        </w:rPr>
        <w:t>GB 5009.3  食品安全国家标准  食品中水分的测定</w:t>
      </w:r>
    </w:p>
    <w:p>
      <w:pPr>
        <w:pStyle w:val="20"/>
        <w:rPr>
          <w:rFonts w:hint="eastAsia"/>
        </w:rPr>
      </w:pPr>
      <w:r>
        <w:rPr>
          <w:rFonts w:hint="eastAsia"/>
        </w:rPr>
        <w:t>GB 5749  生活饮用水卫生标准</w:t>
      </w:r>
    </w:p>
    <w:p>
      <w:pPr>
        <w:pStyle w:val="20"/>
        <w:rPr>
          <w:rFonts w:hint="eastAsia"/>
        </w:rPr>
      </w:pPr>
      <w:r>
        <w:rPr>
          <w:rFonts w:hint="eastAsia"/>
        </w:rPr>
        <w:t>GB 7718  食品安全国家标准  预包装食品标签通则</w:t>
      </w:r>
    </w:p>
    <w:p>
      <w:pPr>
        <w:pStyle w:val="20"/>
        <w:rPr>
          <w:rFonts w:hint="eastAsia"/>
        </w:rPr>
      </w:pPr>
      <w:r>
        <w:rPr>
          <w:rFonts w:hint="eastAsia"/>
        </w:rPr>
        <w:t>GB 14881  食品安全国家标准  食品生产通用卫生规范</w:t>
      </w:r>
    </w:p>
    <w:p>
      <w:pPr>
        <w:pStyle w:val="20"/>
        <w:rPr>
          <w:rFonts w:hint="eastAsia"/>
        </w:rPr>
      </w:pPr>
      <w:r>
        <w:rPr>
          <w:rFonts w:hint="eastAsia"/>
        </w:rPr>
        <w:t>GB 19300  食品安全国家标准  坚果与籽类食品</w:t>
      </w:r>
    </w:p>
    <w:p>
      <w:pPr>
        <w:pStyle w:val="20"/>
        <w:rPr>
          <w:rFonts w:hint="eastAsia"/>
        </w:rPr>
      </w:pPr>
      <w:r>
        <w:rPr>
          <w:rFonts w:hint="eastAsia"/>
        </w:rPr>
        <w:t>GB/T 191  包装储运图示标志</w:t>
      </w:r>
    </w:p>
    <w:p>
      <w:pPr>
        <w:pStyle w:val="20"/>
        <w:rPr>
          <w:rFonts w:hint="eastAsia"/>
        </w:rPr>
      </w:pPr>
      <w:r>
        <w:rPr>
          <w:rFonts w:hint="eastAsia"/>
        </w:rPr>
        <w:t>GB/T 6388  运输包装收发货标志</w:t>
      </w:r>
    </w:p>
    <w:p>
      <w:pPr>
        <w:pStyle w:val="20"/>
        <w:rPr>
          <w:rFonts w:hint="eastAsia"/>
        </w:rPr>
      </w:pPr>
      <w:r>
        <w:rPr>
          <w:rFonts w:hint="eastAsia"/>
        </w:rPr>
        <w:t>GB/T 29605  感官分析  食品感官质量控制导则</w:t>
      </w:r>
    </w:p>
    <w:p>
      <w:pPr>
        <w:pStyle w:val="20"/>
        <w:rPr>
          <w:rFonts w:hint="eastAsia"/>
        </w:rPr>
      </w:pPr>
      <w:r>
        <w:rPr>
          <w:rFonts w:hint="eastAsia"/>
        </w:rPr>
        <w:t>JJF 1070  定量包装商品净含量计量检验规则</w:t>
      </w:r>
    </w:p>
    <w:p>
      <w:pPr>
        <w:pStyle w:val="20"/>
        <w:rPr>
          <w:rFonts w:hint="eastAsia"/>
        </w:rPr>
      </w:pPr>
      <w:r>
        <w:rPr>
          <w:rFonts w:hint="eastAsia"/>
        </w:rPr>
        <w:t>《定量包装商品计量监督管理办法》</w:t>
      </w:r>
    </w:p>
    <w:p>
      <w:pPr>
        <w:pStyle w:val="40"/>
        <w:rPr>
          <w:rFonts w:hint="eastAsia"/>
        </w:rPr>
      </w:pPr>
      <w:r>
        <w:rPr>
          <w:rFonts w:hint="eastAsia"/>
        </w:rPr>
        <w:t>技术要求</w:t>
      </w:r>
    </w:p>
    <w:p>
      <w:pPr>
        <w:pStyle w:val="40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3.1  原料要求</w:t>
      </w:r>
    </w:p>
    <w:p>
      <w:pPr>
        <w:pStyle w:val="20"/>
        <w:spacing w:line="400" w:lineRule="exact"/>
        <w:rPr>
          <w:rFonts w:hint="eastAsia"/>
        </w:rPr>
      </w:pPr>
      <w:r>
        <w:rPr>
          <w:rFonts w:hint="eastAsia"/>
        </w:rPr>
        <w:t>沙蒿籽：应符合GB 19300 的规定。</w:t>
      </w:r>
    </w:p>
    <w:p>
      <w:pPr>
        <w:pStyle w:val="20"/>
        <w:spacing w:line="400" w:lineRule="exact"/>
        <w:rPr>
          <w:rFonts w:hint="eastAsia"/>
        </w:rPr>
      </w:pPr>
      <w:r>
        <w:rPr>
          <w:rFonts w:hint="eastAsia"/>
        </w:rPr>
        <w:t>生产用水：应符合GB 5749 的规定。</w:t>
      </w:r>
    </w:p>
    <w:p>
      <w:pPr>
        <w:pStyle w:val="40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3.2  感官要求</w:t>
      </w:r>
    </w:p>
    <w:p>
      <w:pPr>
        <w:pStyle w:val="20"/>
        <w:ind w:firstLine="210" w:firstLineChars="100"/>
        <w:rPr>
          <w:rFonts w:hint="eastAsia"/>
        </w:rPr>
      </w:pPr>
      <w:r>
        <w:rPr>
          <w:rFonts w:hint="eastAsia"/>
        </w:rPr>
        <w:t>感官要求应符合表1的规定。</w:t>
      </w:r>
    </w:p>
    <w:p>
      <w:pPr>
        <w:pStyle w:val="20"/>
        <w:ind w:firstLine="210" w:firstLineChars="100"/>
        <w:rPr>
          <w:rFonts w:hint="eastAsia"/>
        </w:rPr>
      </w:pPr>
      <w:bookmarkStart w:id="2" w:name="_GoBack"/>
      <w:bookmarkEnd w:id="2"/>
    </w:p>
    <w:p>
      <w:pPr>
        <w:pStyle w:val="20"/>
        <w:ind w:firstLine="0"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表1 感官要求</w:t>
      </w: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819"/>
        <w:gridCol w:w="3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项目</w:t>
            </w:r>
          </w:p>
        </w:tc>
        <w:tc>
          <w:tcPr>
            <w:tcW w:w="4819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要求</w:t>
            </w:r>
          </w:p>
        </w:tc>
        <w:tc>
          <w:tcPr>
            <w:tcW w:w="3225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色泽</w:t>
            </w:r>
          </w:p>
        </w:tc>
        <w:tc>
          <w:tcPr>
            <w:tcW w:w="4819" w:type="dxa"/>
          </w:tcPr>
          <w:p>
            <w:pPr>
              <w:pStyle w:val="20"/>
              <w:ind w:firstLine="0"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具有产品应有的色泽。</w:t>
            </w:r>
          </w:p>
        </w:tc>
        <w:tc>
          <w:tcPr>
            <w:tcW w:w="3225" w:type="dxa"/>
            <w:vMerge w:val="restart"/>
          </w:tcPr>
          <w:p>
            <w:pPr>
              <w:pStyle w:val="20"/>
              <w:ind w:firstLine="0"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GB/T 29605,将样品置于白色瓷盘中，在自然光下，观察其外观、色泽、组织形态、杂质，鼻嗅其气味，品尝其滋味。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滋味、气味</w:t>
            </w:r>
          </w:p>
        </w:tc>
        <w:tc>
          <w:tcPr>
            <w:tcW w:w="4819" w:type="dxa"/>
          </w:tcPr>
          <w:p>
            <w:pPr>
              <w:pStyle w:val="20"/>
              <w:ind w:firstLine="0"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具有产品应有的滋味、气味，无霉味及其他异味。</w:t>
            </w:r>
          </w:p>
        </w:tc>
        <w:tc>
          <w:tcPr>
            <w:tcW w:w="3225" w:type="dxa"/>
            <w:vMerge w:val="continue"/>
          </w:tcPr>
          <w:p>
            <w:pPr>
              <w:pStyle w:val="20"/>
              <w:ind w:firstLine="0" w:firstLineChars="0"/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组织形态</w:t>
            </w:r>
          </w:p>
        </w:tc>
        <w:tc>
          <w:tcPr>
            <w:tcW w:w="4819" w:type="dxa"/>
          </w:tcPr>
          <w:p>
            <w:pPr>
              <w:pStyle w:val="20"/>
              <w:ind w:firstLine="0"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具有产品应用的形状，有光泽，形态良好。</w:t>
            </w:r>
          </w:p>
        </w:tc>
        <w:tc>
          <w:tcPr>
            <w:tcW w:w="3225" w:type="dxa"/>
            <w:vMerge w:val="continue"/>
          </w:tcPr>
          <w:p>
            <w:pPr>
              <w:pStyle w:val="20"/>
              <w:ind w:firstLine="0" w:firstLineChars="0"/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杂质</w:t>
            </w:r>
          </w:p>
        </w:tc>
        <w:tc>
          <w:tcPr>
            <w:tcW w:w="4819" w:type="dxa"/>
          </w:tcPr>
          <w:p>
            <w:pPr>
              <w:pStyle w:val="20"/>
              <w:ind w:firstLine="0"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无正常视力可见外来杂质。</w:t>
            </w:r>
          </w:p>
        </w:tc>
        <w:tc>
          <w:tcPr>
            <w:tcW w:w="3225" w:type="dxa"/>
            <w:vMerge w:val="continue"/>
          </w:tcPr>
          <w:p>
            <w:pPr>
              <w:pStyle w:val="20"/>
              <w:ind w:firstLine="0" w:firstLineChars="0"/>
              <w:rPr>
                <w:rFonts w:hint="eastAsia"/>
                <w:szCs w:val="18"/>
              </w:rPr>
            </w:pPr>
          </w:p>
        </w:tc>
      </w:tr>
    </w:tbl>
    <w:p>
      <w:pPr>
        <w:pStyle w:val="40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3.3  理化指标</w:t>
      </w:r>
    </w:p>
    <w:p>
      <w:pPr>
        <w:pStyle w:val="20"/>
        <w:ind w:firstLine="210" w:firstLineChars="100"/>
        <w:rPr>
          <w:rFonts w:hint="eastAsia"/>
        </w:rPr>
      </w:pPr>
      <w:r>
        <w:rPr>
          <w:rFonts w:hint="eastAsia"/>
        </w:rPr>
        <w:t>理化指标应符合表2的规定。</w:t>
      </w:r>
    </w:p>
    <w:p>
      <w:pPr>
        <w:pStyle w:val="20"/>
        <w:ind w:firstLine="0"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表2 理化指标</w:t>
      </w: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444"/>
        <w:gridCol w:w="3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项目</w:t>
            </w:r>
          </w:p>
        </w:tc>
        <w:tc>
          <w:tcPr>
            <w:tcW w:w="2444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指标</w:t>
            </w:r>
          </w:p>
        </w:tc>
        <w:tc>
          <w:tcPr>
            <w:tcW w:w="3190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pStyle w:val="20"/>
              <w:ind w:firstLine="0"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水分/（%）                         ≤</w:t>
            </w:r>
          </w:p>
        </w:tc>
        <w:tc>
          <w:tcPr>
            <w:tcW w:w="2444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14.5</w:t>
            </w:r>
          </w:p>
        </w:tc>
        <w:tc>
          <w:tcPr>
            <w:tcW w:w="3190" w:type="dxa"/>
          </w:tcPr>
          <w:p>
            <w:pPr>
              <w:pStyle w:val="2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GB 5009.3</w:t>
            </w:r>
          </w:p>
        </w:tc>
      </w:tr>
    </w:tbl>
    <w:p>
      <w:pPr>
        <w:pStyle w:val="40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3.4  污染物限量</w:t>
      </w:r>
    </w:p>
    <w:p>
      <w:pPr>
        <w:pStyle w:val="20"/>
        <w:ind w:firstLine="315" w:firstLineChars="150"/>
        <w:rPr>
          <w:rFonts w:hint="eastAsia"/>
        </w:rPr>
      </w:pPr>
      <w:r>
        <w:rPr>
          <w:rFonts w:hint="eastAsia"/>
        </w:rPr>
        <w:t>污染物限量“铅（以Pb计）≤0.16mg/kg”，按GB 5009.12规定的方法检验，其他污染物限量应符合GB 2762的规定，按GB 2762规定的方法检验。</w:t>
      </w:r>
    </w:p>
    <w:p>
      <w:pPr>
        <w:pStyle w:val="40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3.5  真菌毒素限量</w:t>
      </w:r>
    </w:p>
    <w:p>
      <w:pPr>
        <w:pStyle w:val="20"/>
        <w:ind w:firstLine="315" w:firstLineChars="150"/>
        <w:rPr>
          <w:rFonts w:hint="eastAsia"/>
        </w:rPr>
      </w:pPr>
      <w:r>
        <w:rPr>
          <w:rFonts w:hint="eastAsia"/>
        </w:rPr>
        <w:t>真菌毒素限量应符合GB 2761的规定，按GB 2761规定的方法检验。</w:t>
      </w:r>
    </w:p>
    <w:p>
      <w:pPr>
        <w:pStyle w:val="40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3.6  净含量</w:t>
      </w:r>
    </w:p>
    <w:p>
      <w:pPr>
        <w:pStyle w:val="20"/>
        <w:ind w:firstLine="315" w:firstLineChars="150"/>
        <w:rPr>
          <w:rFonts w:hint="eastAsia"/>
        </w:rPr>
      </w:pPr>
      <w:r>
        <w:rPr>
          <w:rFonts w:hint="eastAsia"/>
        </w:rPr>
        <w:t>净含量应符合《定量包装商品计量监督管理办法》的规定，按JJF 1070规定的方法检验。</w:t>
      </w:r>
    </w:p>
    <w:p>
      <w:pPr>
        <w:pStyle w:val="40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4   生产加工过程要求</w:t>
      </w:r>
    </w:p>
    <w:p>
      <w:pPr>
        <w:pStyle w:val="20"/>
        <w:ind w:firstLine="315" w:firstLineChars="150"/>
        <w:rPr>
          <w:rFonts w:hint="eastAsia"/>
        </w:rPr>
      </w:pPr>
      <w:r>
        <w:rPr>
          <w:rFonts w:hint="eastAsia"/>
        </w:rPr>
        <w:t>生产加工过程要求应符合GB 14881的规定。</w:t>
      </w:r>
    </w:p>
    <w:p>
      <w:pPr>
        <w:pStyle w:val="40"/>
        <w:numPr>
          <w:ilvl w:val="0"/>
          <w:numId w:val="0"/>
        </w:numPr>
        <w:rPr>
          <w:rFonts w:hAnsi="黑体"/>
          <w:color w:val="000000"/>
        </w:rPr>
      </w:pPr>
      <w:r>
        <w:rPr>
          <w:rFonts w:hint="eastAsia"/>
        </w:rPr>
        <w:t>5</w:t>
      </w:r>
      <w:r>
        <w:rPr>
          <w:rFonts w:hint="eastAsia" w:hAnsi="黑体"/>
          <w:color w:val="000000"/>
        </w:rPr>
        <w:t xml:space="preserve">   标志、包装、运输、贮存</w:t>
      </w:r>
    </w:p>
    <w:p>
      <w:pPr>
        <w:spacing w:beforeLines="50" w:afterLines="5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5.1  标志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产品标签应符合GB 7718的规定，运输包装标志应符合GB/T 191和GB/T 6388的规定。</w:t>
      </w:r>
    </w:p>
    <w:p>
      <w:pPr>
        <w:spacing w:beforeLines="50" w:afterLines="5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5.2  包装</w:t>
      </w:r>
    </w:p>
    <w:p>
      <w:pPr>
        <w:ind w:firstLine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接触食品的包装材料应符合GB 4806.1、GB 4806.7、GB 4806.8的规定，包装严密、无泄漏破损。</w:t>
      </w:r>
    </w:p>
    <w:p>
      <w:pPr>
        <w:ind w:firstLine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</w:t>
      </w:r>
    </w:p>
    <w:p>
      <w:pPr>
        <w:spacing w:beforeLines="50" w:afterLines="5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5.3  运输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运输工具清洁卫生，运输过程中应防止日晒雨淋，不得与有毒、有害、有异味的物品混运。</w:t>
      </w:r>
    </w:p>
    <w:p>
      <w:pPr>
        <w:spacing w:beforeLines="50" w:afterLines="50"/>
        <w:rPr>
          <w:rFonts w:hint="eastAsia" w:ascii="宋体" w:hAnsi="宋体"/>
          <w:color w:val="000000"/>
        </w:rPr>
      </w:pPr>
      <w:r>
        <w:rPr>
          <w:rFonts w:hint="eastAsia" w:ascii="黑体" w:hAnsi="黑体" w:eastAsia="黑体"/>
          <w:color w:val="000000"/>
        </w:rPr>
        <w:t>5.4  贮存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  <w:color w:val="000000"/>
        </w:rPr>
        <w:t>产品应在常</w:t>
      </w:r>
      <w:r>
        <w:rPr>
          <w:rFonts w:hint="eastAsia" w:ascii="宋体" w:hAnsi="宋体"/>
        </w:rPr>
        <w:t>温、</w:t>
      </w:r>
      <w:r>
        <w:rPr>
          <w:rFonts w:hint="eastAsia" w:ascii="宋体" w:hAnsi="宋体"/>
          <w:color w:val="000000"/>
        </w:rPr>
        <w:t>干燥、通风良好场所</w:t>
      </w:r>
      <w:r>
        <w:rPr>
          <w:rFonts w:hint="eastAsia" w:ascii="宋体" w:hAnsi="宋体"/>
        </w:rPr>
        <w:t>贮存，</w:t>
      </w:r>
      <w:r>
        <w:rPr>
          <w:rFonts w:hint="eastAsia" w:ascii="宋体" w:hAnsi="宋体"/>
          <w:color w:val="000000"/>
        </w:rPr>
        <w:t>产品不得与有害、有毒、有异味的物品混贮。产品严禁露天堆放、日晒、雨淋或靠近热源，包装箱底部应垫离地。</w:t>
      </w:r>
    </w:p>
    <w:p>
      <w:pPr>
        <w:pStyle w:val="124"/>
        <w:framePr w:wrap="around"/>
        <w:rPr>
          <w:rFonts w:hint="eastAsia"/>
        </w:rPr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t>Q/</w:t>
    </w:r>
    <w:r>
      <w:rPr>
        <w:rFonts w:hint="eastAsia"/>
      </w:rPr>
      <w:t>WYST</w:t>
    </w:r>
    <w:r>
      <w:t xml:space="preserve"> </w:t>
    </w:r>
    <w:r>
      <w:rPr>
        <w:rFonts w:hint="eastAsia"/>
      </w:rPr>
      <w:t>0001S</w:t>
    </w:r>
    <w:r>
      <w:t>—</w:t>
    </w:r>
    <w:r>
      <w:rPr>
        <w:rFonts w:hint="eastAsia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1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6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3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49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6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hZDlmZmM0ZjJlYWNhOTk1ZTcwZGQ3Nzg0NjAwZTQifQ=="/>
  </w:docVars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1D98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C2730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041AE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71B1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0D5"/>
    <w:rsid w:val="006D0D60"/>
    <w:rsid w:val="006D1122"/>
    <w:rsid w:val="006D3C00"/>
    <w:rsid w:val="006E3675"/>
    <w:rsid w:val="006E4A7F"/>
    <w:rsid w:val="007023C3"/>
    <w:rsid w:val="00704DF6"/>
    <w:rsid w:val="0070651C"/>
    <w:rsid w:val="007132A3"/>
    <w:rsid w:val="0071331A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86F2C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43F2"/>
    <w:rsid w:val="00965324"/>
    <w:rsid w:val="0097091E"/>
    <w:rsid w:val="009760D3"/>
    <w:rsid w:val="00977132"/>
    <w:rsid w:val="00981A4B"/>
    <w:rsid w:val="00982501"/>
    <w:rsid w:val="00985B19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9F563D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800"/>
    <w:rsid w:val="00AE6D15"/>
    <w:rsid w:val="00B04182"/>
    <w:rsid w:val="00B07AE3"/>
    <w:rsid w:val="00B11430"/>
    <w:rsid w:val="00B353EB"/>
    <w:rsid w:val="00B439C4"/>
    <w:rsid w:val="00B4535E"/>
    <w:rsid w:val="00B4725A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CC4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07B7C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2FA8"/>
    <w:rsid w:val="00DA3991"/>
    <w:rsid w:val="00DB7E6C"/>
    <w:rsid w:val="00DD5A29"/>
    <w:rsid w:val="00DD5D9D"/>
    <w:rsid w:val="00DE35CB"/>
    <w:rsid w:val="00DF21E9"/>
    <w:rsid w:val="00E00F14"/>
    <w:rsid w:val="00E025F2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F2DD7"/>
    <w:rsid w:val="00F11BB5"/>
    <w:rsid w:val="00F1417B"/>
    <w:rsid w:val="00F34B9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  <w:rsid w:val="54F50A19"/>
    <w:rsid w:val="79D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autoRedefine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autoRedefine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autoRedefine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autoRedefine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autoRedefine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autoRedefine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autoRedefine/>
    <w:semiHidden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autoRedefine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autoRedefine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footer"/>
    <w:basedOn w:val="1"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autoRedefine/>
    <w:semiHidden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36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autoRedefine/>
    <w:semiHidden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autoRedefine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autoRedefine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autoRedefine/>
    <w:semiHidden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6">
    <w:name w:val="toc 9"/>
    <w:basedOn w:val="1"/>
    <w:next w:val="1"/>
    <w:autoRedefine/>
    <w:semiHidden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autoRedefine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iPriority w:val="0"/>
    <w:rPr>
      <w:vertAlign w:val="superscript"/>
    </w:rPr>
  </w:style>
  <w:style w:type="character" w:styleId="32">
    <w:name w:val="page number"/>
    <w:basedOn w:val="30"/>
    <w:uiPriority w:val="0"/>
    <w:rPr>
      <w:rFonts w:ascii="Times New Roman" w:hAnsi="Times New Roman" w:eastAsia="宋体"/>
      <w:sz w:val="18"/>
    </w:rPr>
  </w:style>
  <w:style w:type="character" w:styleId="33">
    <w:name w:val="FollowedHyperlink"/>
    <w:basedOn w:val="30"/>
    <w:uiPriority w:val="0"/>
    <w:rPr>
      <w:color w:val="800080"/>
      <w:u w:val="single"/>
    </w:rPr>
  </w:style>
  <w:style w:type="character" w:styleId="34">
    <w:name w:val="Hyperlink"/>
    <w:basedOn w:val="30"/>
    <w:uiPriority w:val="0"/>
    <w:rPr>
      <w:color w:val="0000FF"/>
      <w:spacing w:val="0"/>
      <w:w w:val="100"/>
      <w:szCs w:val="21"/>
      <w:u w:val="single"/>
    </w:rPr>
  </w:style>
  <w:style w:type="character" w:styleId="35">
    <w:name w:val="footnote reference"/>
    <w:basedOn w:val="30"/>
    <w:semiHidden/>
    <w:uiPriority w:val="0"/>
    <w:rPr>
      <w:vertAlign w:val="superscript"/>
    </w:rPr>
  </w:style>
  <w:style w:type="character" w:customStyle="1" w:styleId="36">
    <w:name w:val="段 Char"/>
    <w:basedOn w:val="30"/>
    <w:link w:val="20"/>
    <w:uiPriority w:val="0"/>
    <w:rPr>
      <w:rFonts w:ascii="宋体"/>
      <w:sz w:val="21"/>
      <w:lang w:val="en-US" w:eastAsia="zh-CN" w:bidi="ar-SA"/>
    </w:rPr>
  </w:style>
  <w:style w:type="paragraph" w:customStyle="1" w:styleId="37">
    <w:name w:val="一级条标题"/>
    <w:next w:val="20"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8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9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章标题"/>
    <w:next w:val="20"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二级条标题"/>
    <w:basedOn w:val="37"/>
    <w:next w:val="20"/>
    <w:uiPriority w:val="0"/>
    <w:pPr>
      <w:numPr>
        <w:ilvl w:val="2"/>
      </w:numPr>
      <w:spacing w:before="50" w:after="50"/>
      <w:outlineLvl w:val="3"/>
    </w:pPr>
  </w:style>
  <w:style w:type="paragraph" w:customStyle="1" w:styleId="42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3">
    <w:name w:val="列项——（一级）"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列项●（二级）"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目次、标准名称标题"/>
    <w:basedOn w:val="1"/>
    <w:next w:val="20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6">
    <w:name w:val="三级条标题"/>
    <w:basedOn w:val="41"/>
    <w:next w:val="20"/>
    <w:uiPriority w:val="0"/>
    <w:pPr>
      <w:numPr>
        <w:ilvl w:val="3"/>
      </w:numPr>
      <w:outlineLvl w:val="4"/>
    </w:pPr>
  </w:style>
  <w:style w:type="paragraph" w:customStyle="1" w:styleId="47">
    <w:name w:val="示例"/>
    <w:next w:val="48"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8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数字编号列项（二级）"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四级条标题"/>
    <w:basedOn w:val="46"/>
    <w:next w:val="20"/>
    <w:uiPriority w:val="0"/>
    <w:pPr>
      <w:numPr>
        <w:ilvl w:val="4"/>
      </w:numPr>
      <w:outlineLvl w:val="5"/>
    </w:pPr>
  </w:style>
  <w:style w:type="paragraph" w:customStyle="1" w:styleId="51">
    <w:name w:val="五级条标题"/>
    <w:basedOn w:val="50"/>
    <w:next w:val="20"/>
    <w:uiPriority w:val="0"/>
    <w:pPr>
      <w:numPr>
        <w:ilvl w:val="5"/>
      </w:numPr>
      <w:outlineLvl w:val="6"/>
    </w:pPr>
  </w:style>
  <w:style w:type="paragraph" w:customStyle="1" w:styleId="52">
    <w:name w:val="注："/>
    <w:next w:val="20"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注×："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字母编号列项（一级）"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列项◆（三级）"/>
    <w:basedOn w:val="1"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6">
    <w:name w:val="编号列项（三级）"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示例×："/>
    <w:basedOn w:val="40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8">
    <w:name w:val="二级无"/>
    <w:basedOn w:val="41"/>
    <w:uiPriority w:val="0"/>
    <w:pPr>
      <w:spacing w:beforeLines="0" w:afterLines="0"/>
    </w:pPr>
    <w:rPr>
      <w:rFonts w:ascii="宋体" w:eastAsia="宋体"/>
    </w:rPr>
  </w:style>
  <w:style w:type="paragraph" w:customStyle="1" w:styleId="59">
    <w:name w:val="注：（正文）"/>
    <w:basedOn w:val="52"/>
    <w:next w:val="20"/>
    <w:uiPriority w:val="0"/>
  </w:style>
  <w:style w:type="paragraph" w:customStyle="1" w:styleId="60">
    <w:name w:val="注×：（正文）"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2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3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标准书眉_偶数页"/>
    <w:basedOn w:val="39"/>
    <w:next w:val="1"/>
    <w:uiPriority w:val="0"/>
    <w:pPr>
      <w:jc w:val="left"/>
    </w:pPr>
  </w:style>
  <w:style w:type="paragraph" w:customStyle="1" w:styleId="65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6">
    <w:name w:val="参考文献"/>
    <w:basedOn w:val="1"/>
    <w:next w:val="20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7">
    <w:name w:val="参考文献、索引标题"/>
    <w:basedOn w:val="1"/>
    <w:next w:val="20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8">
    <w:name w:val="发布"/>
    <w:basedOn w:val="30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69">
    <w:name w:val="发布部门"/>
    <w:next w:val="20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2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3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4">
    <w:name w:val="封面标准英文名称"/>
    <w:basedOn w:val="73"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5">
    <w:name w:val="封面一致性程度标识"/>
    <w:basedOn w:val="74"/>
    <w:uiPriority w:val="0"/>
    <w:pPr>
      <w:framePr w:wrap="around"/>
      <w:spacing w:before="440"/>
    </w:pPr>
    <w:rPr>
      <w:rFonts w:ascii="宋体" w:eastAsia="宋体"/>
    </w:rPr>
  </w:style>
  <w:style w:type="paragraph" w:customStyle="1" w:styleId="76">
    <w:name w:val="封面标准文稿类别"/>
    <w:basedOn w:val="75"/>
    <w:uiPriority w:val="0"/>
    <w:pPr>
      <w:framePr w:wrap="around"/>
      <w:spacing w:after="160" w:line="240" w:lineRule="auto"/>
    </w:pPr>
    <w:rPr>
      <w:sz w:val="24"/>
    </w:rPr>
  </w:style>
  <w:style w:type="paragraph" w:customStyle="1" w:styleId="77">
    <w:name w:val="封面标准文稿编辑信息"/>
    <w:basedOn w:val="76"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78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附录标识"/>
    <w:basedOn w:val="1"/>
    <w:next w:val="20"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0">
    <w:name w:val="附录标题"/>
    <w:basedOn w:val="20"/>
    <w:next w:val="20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1">
    <w:name w:val="附录表标号"/>
    <w:basedOn w:val="1"/>
    <w:next w:val="20"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2">
    <w:name w:val="附录表标题"/>
    <w:basedOn w:val="1"/>
    <w:next w:val="20"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3">
    <w:name w:val="附录二级条标题"/>
    <w:basedOn w:val="1"/>
    <w:next w:val="20"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4">
    <w:name w:val="附录二级无"/>
    <w:basedOn w:val="83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5">
    <w:name w:val="附录公式"/>
    <w:basedOn w:val="20"/>
    <w:next w:val="20"/>
    <w:link w:val="86"/>
    <w:qFormat/>
    <w:uiPriority w:val="0"/>
  </w:style>
  <w:style w:type="character" w:customStyle="1" w:styleId="86">
    <w:name w:val="附录公式 Char"/>
    <w:basedOn w:val="36"/>
    <w:link w:val="85"/>
    <w:uiPriority w:val="0"/>
  </w:style>
  <w:style w:type="paragraph" w:customStyle="1" w:styleId="87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8">
    <w:name w:val="附录三级条标题"/>
    <w:basedOn w:val="83"/>
    <w:next w:val="20"/>
    <w:uiPriority w:val="0"/>
    <w:pPr>
      <w:numPr>
        <w:ilvl w:val="4"/>
      </w:numPr>
      <w:outlineLvl w:val="4"/>
    </w:pPr>
  </w:style>
  <w:style w:type="paragraph" w:customStyle="1" w:styleId="89">
    <w:name w:val="附录三级无"/>
    <w:basedOn w:val="88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0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附录四级条标题"/>
    <w:basedOn w:val="88"/>
    <w:next w:val="20"/>
    <w:uiPriority w:val="0"/>
    <w:pPr>
      <w:numPr>
        <w:ilvl w:val="5"/>
      </w:numPr>
      <w:outlineLvl w:val="5"/>
    </w:pPr>
  </w:style>
  <w:style w:type="paragraph" w:customStyle="1" w:styleId="92">
    <w:name w:val="附录四级无"/>
    <w:basedOn w:val="91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3">
    <w:name w:val="附录图标号"/>
    <w:basedOn w:val="1"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4">
    <w:name w:val="附录图标题"/>
    <w:basedOn w:val="1"/>
    <w:next w:val="20"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5">
    <w:name w:val="附录五级条标题"/>
    <w:basedOn w:val="91"/>
    <w:next w:val="20"/>
    <w:uiPriority w:val="0"/>
    <w:pPr>
      <w:numPr>
        <w:ilvl w:val="6"/>
      </w:numPr>
      <w:outlineLvl w:val="6"/>
    </w:pPr>
  </w:style>
  <w:style w:type="paragraph" w:customStyle="1" w:styleId="96">
    <w:name w:val="附录五级无"/>
    <w:basedOn w:val="95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7">
    <w:name w:val="附录章标题"/>
    <w:next w:val="20"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8">
    <w:name w:val="附录一级条标题"/>
    <w:basedOn w:val="97"/>
    <w:next w:val="20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99">
    <w:name w:val="附录一级无"/>
    <w:basedOn w:val="98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0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2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其他标准标志"/>
    <w:basedOn w:val="61"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05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6">
    <w:name w:val="其他发布部门"/>
    <w:basedOn w:val="69"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07">
    <w:name w:val="前言、引言标题"/>
    <w:next w:val="20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三级无"/>
    <w:basedOn w:val="46"/>
    <w:uiPriority w:val="0"/>
    <w:pPr>
      <w:spacing w:beforeLines="0" w:afterLines="0"/>
    </w:pPr>
    <w:rPr>
      <w:rFonts w:ascii="宋体" w:eastAsia="宋体"/>
    </w:rPr>
  </w:style>
  <w:style w:type="paragraph" w:customStyle="1" w:styleId="109">
    <w:name w:val="实施日期"/>
    <w:basedOn w:val="70"/>
    <w:uiPriority w:val="0"/>
    <w:pPr>
      <w:framePr w:wrap="around" w:vAnchor="page"/>
      <w:jc w:val="right"/>
    </w:pPr>
  </w:style>
  <w:style w:type="paragraph" w:customStyle="1" w:styleId="110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11">
    <w:name w:val="首示例"/>
    <w:next w:val="20"/>
    <w:link w:val="112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2">
    <w:name w:val="首示例 Char"/>
    <w:basedOn w:val="30"/>
    <w:link w:val="111"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3">
    <w:name w:val="四级无"/>
    <w:basedOn w:val="50"/>
    <w:uiPriority w:val="0"/>
    <w:pPr>
      <w:spacing w:beforeLines="0" w:afterLines="0"/>
    </w:pPr>
    <w:rPr>
      <w:rFonts w:ascii="宋体" w:eastAsia="宋体"/>
    </w:rPr>
  </w:style>
  <w:style w:type="paragraph" w:customStyle="1" w:styleId="114">
    <w:name w:val="条文脚注"/>
    <w:basedOn w:val="21"/>
    <w:uiPriority w:val="0"/>
    <w:pPr>
      <w:numPr>
        <w:numId w:val="0"/>
      </w:numPr>
      <w:jc w:val="both"/>
    </w:pPr>
  </w:style>
  <w:style w:type="paragraph" w:customStyle="1" w:styleId="115">
    <w:name w:val="图标脚注说明"/>
    <w:basedOn w:val="20"/>
    <w:uiPriority w:val="0"/>
    <w:pPr>
      <w:ind w:left="840" w:hanging="420" w:firstLineChars="0"/>
    </w:pPr>
    <w:rPr>
      <w:sz w:val="18"/>
      <w:szCs w:val="18"/>
    </w:rPr>
  </w:style>
  <w:style w:type="paragraph" w:customStyle="1" w:styleId="116">
    <w:name w:val="图表脚注说明"/>
    <w:basedOn w:val="1"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7">
    <w:name w:val="图的脚注"/>
    <w:next w:val="20"/>
    <w:autoRedefine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8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9">
    <w:name w:val="五级无"/>
    <w:basedOn w:val="51"/>
    <w:uiPriority w:val="0"/>
    <w:pPr>
      <w:spacing w:beforeLines="0" w:afterLines="0"/>
    </w:pPr>
    <w:rPr>
      <w:rFonts w:ascii="宋体" w:eastAsia="宋体"/>
    </w:rPr>
  </w:style>
  <w:style w:type="paragraph" w:customStyle="1" w:styleId="120">
    <w:name w:val="一级无"/>
    <w:basedOn w:val="37"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正文表标题"/>
    <w:next w:val="20"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123">
    <w:name w:val="正文图标题"/>
    <w:next w:val="20"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25">
    <w:name w:val="其他发布日期"/>
    <w:basedOn w:val="70"/>
    <w:uiPriority w:val="0"/>
    <w:pPr>
      <w:framePr w:wrap="around" w:vAnchor="page" w:x="1419"/>
    </w:pPr>
  </w:style>
  <w:style w:type="paragraph" w:customStyle="1" w:styleId="126">
    <w:name w:val="其他实施日期"/>
    <w:basedOn w:val="109"/>
    <w:uiPriority w:val="0"/>
    <w:pPr>
      <w:framePr w:wrap="around"/>
    </w:pPr>
  </w:style>
  <w:style w:type="paragraph" w:customStyle="1" w:styleId="127">
    <w:name w:val="封面标准名称2"/>
    <w:basedOn w:val="73"/>
    <w:uiPriority w:val="0"/>
    <w:pPr>
      <w:framePr w:wrap="around" w:y="4469"/>
      <w:spacing w:beforeLines="630"/>
    </w:pPr>
  </w:style>
  <w:style w:type="paragraph" w:customStyle="1" w:styleId="128">
    <w:name w:val="封面标准英文名称2"/>
    <w:basedOn w:val="74"/>
    <w:uiPriority w:val="0"/>
    <w:pPr>
      <w:framePr w:wrap="around" w:y="4469"/>
    </w:pPr>
  </w:style>
  <w:style w:type="paragraph" w:customStyle="1" w:styleId="129">
    <w:name w:val="封面一致性程度标识2"/>
    <w:basedOn w:val="75"/>
    <w:uiPriority w:val="0"/>
    <w:pPr>
      <w:framePr w:wrap="around" w:y="4469"/>
    </w:pPr>
  </w:style>
  <w:style w:type="paragraph" w:customStyle="1" w:styleId="130">
    <w:name w:val="封面标准文稿类别2"/>
    <w:basedOn w:val="76"/>
    <w:uiPriority w:val="0"/>
    <w:pPr>
      <w:framePr w:wrap="around" w:y="4469"/>
    </w:pPr>
  </w:style>
  <w:style w:type="paragraph" w:customStyle="1" w:styleId="131">
    <w:name w:val="封面标准文稿编辑信息2"/>
    <w:basedOn w:val="77"/>
    <w:uiPriority w:val="0"/>
    <w:pPr>
      <w:framePr w:wrap="around" w:y="4469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6"/>
    <customShpInfo spid="_x0000_s1038"/>
    <customShpInfo spid="_x0000_s1037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沙蒿籽（粉）</Template>
  <Company>zle</Company>
  <Pages>5</Pages>
  <Words>293</Words>
  <Characters>1672</Characters>
  <Lines>13</Lines>
  <Paragraphs>3</Paragraphs>
  <TotalTime>1</TotalTime>
  <ScaleCrop>false</ScaleCrop>
  <LinksUpToDate>false</LinksUpToDate>
  <CharactersWithSpaces>1962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2024-04-18T01:50:00Z</dcterms:created>
  <dc:creator>CNIS</dc:creator>
  <cp:lastModifiedBy>Administrator</cp:lastModifiedBy>
  <dcterms:modified xsi:type="dcterms:W3CDTF">2024-04-19T01:23:26Z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D6C0156B4DE84FB4BBE25F0D68072FE8_12</vt:lpwstr>
  </property>
</Properties>
</file>